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3" w:rsidRPr="00762463" w:rsidRDefault="00E96463" w:rsidP="00446459">
      <w:pPr>
        <w:jc w:val="both"/>
        <w:rPr>
          <w:b/>
        </w:rPr>
      </w:pPr>
      <w:r w:rsidRPr="00762463">
        <w:rPr>
          <w:b/>
        </w:rPr>
        <w:t>PROGRAMUL PROPRIU DE ACŢIUNI AL INSPECTORATULUI TERITORIAL DE MUNCĂ SUCEAVA PENTRU ANUL 201</w:t>
      </w:r>
      <w:r w:rsidR="00446459" w:rsidRPr="00762463">
        <w:rPr>
          <w:b/>
        </w:rPr>
        <w:t>8</w:t>
      </w:r>
    </w:p>
    <w:p w:rsidR="00446459" w:rsidRPr="00762463" w:rsidRDefault="00446459" w:rsidP="00446459">
      <w:pPr>
        <w:jc w:val="both"/>
        <w:rPr>
          <w:b/>
        </w:rPr>
      </w:pPr>
      <w:r w:rsidRPr="00762463">
        <w:rPr>
          <w:rFonts w:ascii="Trebuchet MS" w:eastAsia="Times New Roman" w:hAnsi="Trebuchet MS" w:cs="Times New Roman"/>
          <w:b/>
          <w:i/>
          <w:iCs/>
          <w:lang w:eastAsia="ro-RO"/>
        </w:rPr>
        <w:t>CAMPANII NAŢIONALE ÎN DOMENIUL SECURITĂŢII ŞI SĂNĂTĂŢII ÎN MUNCĂ</w:t>
      </w:r>
    </w:p>
    <w:p w:rsidR="00446459" w:rsidRDefault="00446459" w:rsidP="00446459">
      <w:pPr>
        <w:jc w:val="both"/>
        <w:rPr>
          <w:b/>
        </w:rPr>
      </w:pPr>
      <w:r w:rsidRPr="00762463">
        <w:rPr>
          <w:b/>
        </w:rPr>
        <w:t>“</w:t>
      </w:r>
      <w:r w:rsidR="00054661">
        <w:rPr>
          <w:b/>
        </w:rPr>
        <w:t>V</w:t>
      </w:r>
      <w:r w:rsidR="00054661" w:rsidRPr="00054661">
        <w:rPr>
          <w:b/>
        </w:rPr>
        <w:t>ERIFICAREA RESPECTĂRII PREVEDERILOR REFERITOARE LA AUTORIZAREA FUNCȚIONĂRII DIN PUNCT DE VEDERE</w:t>
      </w:r>
      <w:r w:rsidR="00054661">
        <w:rPr>
          <w:b/>
        </w:rPr>
        <w:t xml:space="preserve"> </w:t>
      </w:r>
      <w:r w:rsidR="00054661" w:rsidRPr="00054661">
        <w:rPr>
          <w:b/>
        </w:rPr>
        <w:t>AL SECURITĂȚII ȘI SĂNĂTĂȚII ÎN MUNCĂ, CONFORM H.G. NR.1425/2006, CU MODIFICĂRILE  ȘI COMPLETĂRILE ULTERIOARE</w:t>
      </w:r>
      <w:r w:rsidR="00054661" w:rsidRPr="00762463">
        <w:rPr>
          <w:b/>
        </w:rPr>
        <w:t>.”</w:t>
      </w:r>
    </w:p>
    <w:p w:rsidR="00054661" w:rsidRPr="00762463" w:rsidRDefault="00054661" w:rsidP="00446459">
      <w:pPr>
        <w:jc w:val="both"/>
        <w:rPr>
          <w:b/>
        </w:rPr>
      </w:pPr>
    </w:p>
    <w:p w:rsidR="00054661" w:rsidRPr="00054661" w:rsidRDefault="00054661" w:rsidP="00054661">
      <w:pPr>
        <w:keepNext/>
        <w:numPr>
          <w:ilvl w:val="0"/>
          <w:numId w:val="2"/>
        </w:numPr>
        <w:shd w:val="clear" w:color="auto" w:fill="CCECFF"/>
        <w:spacing w:after="0" w:line="240" w:lineRule="auto"/>
        <w:ind w:left="1418"/>
        <w:jc w:val="both"/>
        <w:outlineLvl w:val="3"/>
        <w:rPr>
          <w:rFonts w:ascii="Trebuchet MS" w:eastAsia="Times New Roman" w:hAnsi="Trebuchet MS" w:cs="Arial"/>
          <w:b/>
          <w:bCs/>
          <w:sz w:val="24"/>
          <w:szCs w:val="24"/>
          <w:lang w:eastAsia="ro-RO"/>
        </w:rPr>
      </w:pPr>
      <w:r w:rsidRPr="00054661">
        <w:rPr>
          <w:rFonts w:ascii="Trebuchet MS" w:eastAsia="Times New Roman" w:hAnsi="Trebuchet MS" w:cs="Arial"/>
          <w:b/>
          <w:bCs/>
          <w:sz w:val="24"/>
          <w:szCs w:val="24"/>
          <w:lang w:eastAsia="ro-RO"/>
        </w:rPr>
        <w:t xml:space="preserve">OBIECTIVUL CAMPANIEI </w:t>
      </w:r>
    </w:p>
    <w:p w:rsidR="00054661" w:rsidRPr="00054661" w:rsidRDefault="00054661" w:rsidP="00054661">
      <w:pPr>
        <w:jc w:val="both"/>
        <w:rPr>
          <w:b/>
        </w:rPr>
      </w:pPr>
      <w:r w:rsidRPr="00054661">
        <w:rPr>
          <w:b/>
        </w:rPr>
        <w:t>Campania are ca obiectiv verificarea respectării prevederilor referitoare la autorizarea funcționării din punct de vedere al securității și sănătății în muncă (SSM) de către angajatorii care au obligaţia autorizării la inspectoratul teritorial de muncă, conform prevederilor Normelor metodologice de aplicare a prevederilor Legii securităţii şi sănătăţii în muncă nr.319/2006, aprobate prin Hotărârea Guvernului nr.1425/2006, cu modificările și completările ulterioare (Norme Metodologice).</w:t>
      </w:r>
    </w:p>
    <w:p w:rsidR="00054661" w:rsidRPr="00054661" w:rsidRDefault="00054661" w:rsidP="00054661">
      <w:pPr>
        <w:jc w:val="both"/>
        <w:rPr>
          <w:rFonts w:ascii="Trebuchet MS" w:eastAsia="MS Mincho" w:hAnsi="Trebuchet MS" w:cs="Times New Roman"/>
        </w:rPr>
      </w:pPr>
      <w:r w:rsidRPr="00054661">
        <w:rPr>
          <w:b/>
        </w:rPr>
        <w:t xml:space="preserve">Prin desfășurarea campaniei se urmăreşte, pe de o parte, conştientizarea angajatorilor cu privire la necesitatea respectării cerinţelor legale privind autorizarea funcționării din punct de vedere SSM şi, pe de altă parte, verificarea respectării acestor prevederi. </w:t>
      </w:r>
    </w:p>
    <w:p w:rsidR="00054661" w:rsidRPr="00054661" w:rsidRDefault="00054661" w:rsidP="00054661">
      <w:pPr>
        <w:keepNext/>
        <w:numPr>
          <w:ilvl w:val="0"/>
          <w:numId w:val="2"/>
        </w:numPr>
        <w:shd w:val="clear" w:color="auto" w:fill="CCECFF"/>
        <w:spacing w:after="0" w:line="240" w:lineRule="auto"/>
        <w:ind w:left="1418"/>
        <w:jc w:val="both"/>
        <w:outlineLvl w:val="3"/>
        <w:rPr>
          <w:rFonts w:ascii="Trebuchet MS" w:eastAsia="Times New Roman" w:hAnsi="Trebuchet MS" w:cs="Arial"/>
          <w:b/>
          <w:bCs/>
          <w:sz w:val="24"/>
          <w:szCs w:val="24"/>
          <w:lang w:eastAsia="ro-RO"/>
        </w:rPr>
      </w:pPr>
      <w:r w:rsidRPr="00054661">
        <w:rPr>
          <w:rFonts w:ascii="Trebuchet MS" w:eastAsia="Times New Roman" w:hAnsi="Trebuchet MS" w:cs="Arial"/>
          <w:b/>
          <w:bCs/>
          <w:sz w:val="24"/>
          <w:szCs w:val="24"/>
          <w:lang w:eastAsia="ro-RO"/>
        </w:rPr>
        <w:t>MOTIVAREA CAMPANIEI</w:t>
      </w:r>
    </w:p>
    <w:p w:rsidR="00054661" w:rsidRPr="00054661" w:rsidRDefault="00054661" w:rsidP="00054661">
      <w:pPr>
        <w:spacing w:after="0"/>
        <w:jc w:val="both"/>
        <w:rPr>
          <w:b/>
        </w:rPr>
      </w:pPr>
      <w:r w:rsidRPr="00054661">
        <w:rPr>
          <w:b/>
        </w:rPr>
        <w:t>Crearea unui mediu de muncă sigur şi sănătos pentru lucrătorii din Uniunea Europeană (UE) reprezintă un obiectiv strategic al Comisiei Europene, inclus în Cadrul Strategic al UE privind securitatea şi sănătatea la locul de muncă 2014 – 2020</w:t>
      </w:r>
      <w:r w:rsidRPr="00054661">
        <w:rPr>
          <w:b/>
        </w:rPr>
        <w:footnoteReference w:id="1"/>
      </w:r>
      <w:r w:rsidRPr="00054661">
        <w:rPr>
          <w:b/>
        </w:rPr>
        <w:t xml:space="preserve">. </w:t>
      </w:r>
    </w:p>
    <w:p w:rsidR="00054661" w:rsidRPr="00054661" w:rsidRDefault="00054661" w:rsidP="00054661">
      <w:pPr>
        <w:spacing w:after="0"/>
        <w:jc w:val="both"/>
        <w:rPr>
          <w:b/>
        </w:rPr>
      </w:pPr>
      <w:r w:rsidRPr="00054661">
        <w:rPr>
          <w:b/>
        </w:rPr>
        <w:t>În Cadrul Strategic al UE se menționează faptul că prevenirea riscurilor și promovarea unor condiții mai sigure și mai sănătoase la locul de muncă sunt esențiale nu numai pentru a îmbunătăți calitatea locurilor de muncă și a condițiilor de lucru, ci și pentru promovarea competitivității.</w:t>
      </w:r>
    </w:p>
    <w:p w:rsidR="00054661" w:rsidRPr="00054661" w:rsidRDefault="00054661" w:rsidP="00054661">
      <w:pPr>
        <w:spacing w:after="0"/>
        <w:jc w:val="both"/>
        <w:rPr>
          <w:b/>
        </w:rPr>
      </w:pPr>
      <w:r w:rsidRPr="00054661">
        <w:rPr>
          <w:b/>
        </w:rPr>
        <w:t>Unul dintre obiectivele strategice se referă la o mai bună punere în aplicare de către statele membre a legislaţiei privind securitatea şi sănătatea în muncă. În acest sens, se precizează că: „este esențial ca întreprinderile să privească misiunea inspectorilor ca pe un efort de facilitare a respectării legislației, și nu ca pe un obstacol în calea activității lor economice.”</w:t>
      </w:r>
    </w:p>
    <w:p w:rsidR="00054661" w:rsidRPr="00054661" w:rsidRDefault="00054661" w:rsidP="00054661">
      <w:pPr>
        <w:spacing w:after="0"/>
        <w:jc w:val="both"/>
        <w:rPr>
          <w:b/>
        </w:rPr>
      </w:pPr>
      <w:r w:rsidRPr="00054661">
        <w:rPr>
          <w:b/>
        </w:rPr>
        <w:t>În vederea stimulării creării unui mediu de lucru sănătos şi sigur în întreprinderi, şi în special în cele mici şi mijlocii, Cadrul strategic al UE privind securitatea şi sănătatea la locul de muncă 2014 – 2020  prevede că „respectarea obligațiilor legale și măsurile de asigurare a respectării legislației luate de organismele de control, inclusiv de inspectoratele de muncă, rămân factori-cheie pentru gestionarea SSM în majoritatea unităților.”</w:t>
      </w:r>
    </w:p>
    <w:p w:rsidR="00054661" w:rsidRPr="00054661" w:rsidRDefault="00054661" w:rsidP="00B30C56">
      <w:pPr>
        <w:spacing w:after="0"/>
        <w:jc w:val="both"/>
        <w:rPr>
          <w:b/>
        </w:rPr>
      </w:pPr>
      <w:r w:rsidRPr="00054661">
        <w:rPr>
          <w:b/>
        </w:rPr>
        <w:t xml:space="preserve">Legea nr. 319/2006 a securităţii şi sănătăţii în muncă, modificată şi completată, stabileşte principii generale referitoare la prevenirea riscurilor profesionale, protecţia sănătăţii şi securitatea lucrătorilor, eliminarea factorilor de risc şi accidentare, informarea, consultarea, participarea echilibrată potrivit legii, instruirea lucrătorilor şi a reprezentanţilor lor, precum şi direcţiile </w:t>
      </w:r>
      <w:r w:rsidRPr="00054661">
        <w:rPr>
          <w:b/>
          <w:sz w:val="20"/>
        </w:rPr>
        <w:t xml:space="preserve">generale pentru implementarea </w:t>
      </w:r>
      <w:r w:rsidRPr="00054661">
        <w:rPr>
          <w:b/>
        </w:rPr>
        <w:t>acestor principii.</w:t>
      </w:r>
    </w:p>
    <w:p w:rsidR="00054661" w:rsidRDefault="00054661" w:rsidP="00054661">
      <w:pPr>
        <w:jc w:val="both"/>
        <w:rPr>
          <w:b/>
        </w:rPr>
      </w:pPr>
      <w:r w:rsidRPr="00054661">
        <w:rPr>
          <w:b/>
        </w:rPr>
        <w:t xml:space="preserve">Potrivit articolului 13 </w:t>
      </w:r>
      <w:proofErr w:type="spellStart"/>
      <w:r w:rsidRPr="00054661">
        <w:rPr>
          <w:b/>
        </w:rPr>
        <w:t>lit.c</w:t>
      </w:r>
      <w:proofErr w:type="spellEnd"/>
      <w:r w:rsidRPr="00054661">
        <w:rPr>
          <w:b/>
        </w:rPr>
        <w:t>) al Legii nr. 319/2006, în vederea asigurării condiţiilor de securitate şi sănătate în muncă şi pentru prevenirea accidentelor şi a bolilor profesionale, angajatorii au obligaţia să obţină autorizaţia de funcţionare din punct de vedere al securităţii şi sănătăţii în muncă (SSM), înainte de începerea oricărei activităţi.</w:t>
      </w:r>
      <w:r>
        <w:rPr>
          <w:b/>
        </w:rPr>
        <w:t xml:space="preserve">    </w:t>
      </w:r>
    </w:p>
    <w:p w:rsidR="00054661" w:rsidRPr="00054661" w:rsidRDefault="00054661" w:rsidP="00B30C56">
      <w:pPr>
        <w:spacing w:after="0"/>
        <w:jc w:val="both"/>
        <w:rPr>
          <w:b/>
        </w:rPr>
      </w:pPr>
      <w:r w:rsidRPr="00054661">
        <w:rPr>
          <w:b/>
        </w:rPr>
        <w:lastRenderedPageBreak/>
        <w:t>Astfel, conform prevederilor art. 6 al Normelor Metodologice, angajatorul trebuie să solicite autorizarea funcționării din punct de vedere SSM la inspectoratul teritorial de muncă pe raza căruia îşi desfăşoară activitatea. Nu se autorizează la inspectoratul teritorial de muncă persoanele juridice pentru care autorizarea funcţionării, inclusiv din punctul de vedere SSM, se efectuează în temeiul Legii nr. 359/2004, cu modificările şi completările ulterioare și persoanele fizice autorizate să desfăşoare activităţi economice, întreprinderile individuale şi întreprinderile familiale pentru care procedura de înregistrare în registrul comerţului şi de autorizare a funcţionării este reglementată de O.U.G. nr. 44/2008, cu modificările ulterioare.</w:t>
      </w:r>
    </w:p>
    <w:p w:rsidR="00054661" w:rsidRPr="00054661" w:rsidRDefault="00054661" w:rsidP="00B30C56">
      <w:pPr>
        <w:spacing w:after="0"/>
        <w:jc w:val="both"/>
        <w:rPr>
          <w:b/>
        </w:rPr>
      </w:pPr>
      <w:r w:rsidRPr="00054661">
        <w:rPr>
          <w:b/>
        </w:rPr>
        <w:t xml:space="preserve">Angajatorul declară pe propria răspundere faptul că activităţile pentru care solicită autorizație de funcţionare din punct de vedere SSM se vor desfăşura în conformitate cu prevederile Legii nr. 319/2006 şi ale altor reglementări din domeniu. </w:t>
      </w:r>
    </w:p>
    <w:p w:rsidR="00054661" w:rsidRPr="00054661" w:rsidRDefault="00054661" w:rsidP="00B30C56">
      <w:pPr>
        <w:spacing w:after="0"/>
        <w:jc w:val="both"/>
        <w:rPr>
          <w:b/>
        </w:rPr>
      </w:pPr>
      <w:r w:rsidRPr="00054661">
        <w:rPr>
          <w:b/>
        </w:rPr>
        <w:t xml:space="preserve">Așadar, este important ca toți angajatorii să rețină și să conștientizeze faptul că, indiferent de domeniul de activitate, punerea în aplicare a prevederilor legale în domeniul SSM reprezintă o soluție pentru îmbunătățirea condițiilor de muncă, asigurarea unor locuri de muncă sigure și, implicit, reducerea incidenței accidentelor de muncă. </w:t>
      </w:r>
    </w:p>
    <w:p w:rsidR="00054661" w:rsidRPr="00054661" w:rsidRDefault="00054661" w:rsidP="00B30C56">
      <w:pPr>
        <w:spacing w:after="0"/>
        <w:jc w:val="both"/>
        <w:rPr>
          <w:b/>
        </w:rPr>
      </w:pPr>
      <w:r w:rsidRPr="00054661">
        <w:rPr>
          <w:b/>
        </w:rPr>
        <w:t>Potrivit datelor înregistrate în aplicația informatică a Inspecției Muncii - Columbo, inspectoratele teritoriale de muncă au eliberat un număr total de 2435 certificate constatatoare, în perioada mai 2016 – ianuarie 2018. Situația certificatelor constatatoare eliberate de către inspectoratele teritoriale de muncă în perioada menționată este prezentată în Anexa nr.1 la prezenta metodologie.</w:t>
      </w:r>
    </w:p>
    <w:p w:rsidR="00054661" w:rsidRPr="00054661" w:rsidRDefault="00054661" w:rsidP="00B30C56">
      <w:pPr>
        <w:spacing w:after="0"/>
        <w:jc w:val="both"/>
        <w:rPr>
          <w:b/>
        </w:rPr>
      </w:pPr>
      <w:r w:rsidRPr="00054661">
        <w:rPr>
          <w:b/>
        </w:rPr>
        <w:t>Din analiza acestei situații reiese faptul că este necesară crearea unei baze de date la nivel județean privind angajatorii care au obligația autorizării funcționării din punct de vedere SMM la inspectoratul teritorial de muncă, având în vederea ponderea semnificativă în economie a acestor angajatori.</w:t>
      </w:r>
    </w:p>
    <w:p w:rsidR="00054661" w:rsidRPr="00054661" w:rsidRDefault="00054661" w:rsidP="00B30C56">
      <w:pPr>
        <w:spacing w:after="0"/>
        <w:jc w:val="both"/>
        <w:rPr>
          <w:b/>
        </w:rPr>
      </w:pPr>
      <w:r w:rsidRPr="00054661">
        <w:rPr>
          <w:b/>
        </w:rPr>
        <w:t xml:space="preserve">În timpul controalelor efectuate de către inspectorii de muncă s-a constatat că unii dintre angajatori nu au solicitat autorizarea funcționării din punct de vedere SSM, cel mai adesea din necunoașterea obligațiilor. </w:t>
      </w:r>
    </w:p>
    <w:p w:rsidR="00054661" w:rsidRPr="00054661" w:rsidRDefault="00054661" w:rsidP="00B30C56">
      <w:pPr>
        <w:spacing w:after="0"/>
        <w:jc w:val="both"/>
        <w:rPr>
          <w:b/>
        </w:rPr>
      </w:pPr>
      <w:r w:rsidRPr="00054661">
        <w:rPr>
          <w:b/>
        </w:rPr>
        <w:t xml:space="preserve">De asemenea, s-a constatat că unii angajatori desfășoară și alte activități care nu sunt menționate în certificatului constatator, încălcând art. 5 din Normele Metodologice, conform căruia ”angajatorii trebuie să își asume responsabilitatea privind legalitatea desfăşurării activităţii din punct de vedere al SSM pentru toate activităţile care se desfăşoară la sediul social, la sediile secundare sau în afara acestora”. </w:t>
      </w:r>
    </w:p>
    <w:p w:rsidR="00054661" w:rsidRPr="00054661" w:rsidRDefault="00054661" w:rsidP="00B30C56">
      <w:pPr>
        <w:spacing w:after="0"/>
        <w:jc w:val="both"/>
        <w:rPr>
          <w:b/>
        </w:rPr>
      </w:pPr>
      <w:r w:rsidRPr="00054661">
        <w:rPr>
          <w:b/>
        </w:rPr>
        <w:t xml:space="preserve">Luând în considerare faptul că o mai bună implementare a legislaţiei în domeniul securităţii şi sănătăţii în muncă determină îmbunătăţirea condiţiilor de muncă şi reducerea numărului de accidente de muncă şi boli profesionale, Inspecţia Muncii are ca prioritate ridicarea nivelului de respectare a cerinţelor legale în toate întreprinderile, cu focalizare în cadrul acestei campanii pe întreprinderile/unitățile care trebuie să dețină autorizația de funcționare din punct de vedere SSM, conform prevederilor Normelor Metodologice. </w:t>
      </w:r>
    </w:p>
    <w:p w:rsidR="00054661" w:rsidRPr="00054661" w:rsidRDefault="00054661" w:rsidP="00054661">
      <w:pPr>
        <w:jc w:val="both"/>
        <w:rPr>
          <w:b/>
        </w:rPr>
      </w:pPr>
      <w:r w:rsidRPr="00054661">
        <w:rPr>
          <w:b/>
        </w:rPr>
        <w:t>În acest context şi având în vedere specificitatea acestor întreprinderi/unități care se confruntă adesea cu resurse limitate, cu riscuri profesionale care nu sunt cunoscute/evaluate, care nu aplică măsuri adecvate de prevenire şi protecţie, în Programul Cadru de Acţiuni al Inspecţiei Muncii pentru anul 2018 s-a inclus acțiunea ”Campanie națională privind verificarea respectării prevederilor referitoare la autorizarea funcționării din punct de vedere al securității și sănătății în muncă, conform H.G. nr.1425/2006, cu modificările  și completările ulterioare”.</w:t>
      </w:r>
    </w:p>
    <w:p w:rsidR="00054661" w:rsidRPr="00054661" w:rsidRDefault="00054661" w:rsidP="00054661">
      <w:pPr>
        <w:keepNext/>
        <w:numPr>
          <w:ilvl w:val="0"/>
          <w:numId w:val="2"/>
        </w:numPr>
        <w:shd w:val="clear" w:color="auto" w:fill="CCECFF"/>
        <w:spacing w:after="0" w:line="240" w:lineRule="auto"/>
        <w:ind w:left="1418"/>
        <w:jc w:val="both"/>
        <w:outlineLvl w:val="3"/>
        <w:rPr>
          <w:rFonts w:ascii="Trebuchet MS" w:eastAsia="Times New Roman" w:hAnsi="Trebuchet MS" w:cs="Arial"/>
          <w:b/>
          <w:bCs/>
          <w:sz w:val="24"/>
          <w:szCs w:val="24"/>
          <w:lang w:eastAsia="ro-RO"/>
        </w:rPr>
      </w:pPr>
      <w:r w:rsidRPr="00054661">
        <w:rPr>
          <w:rFonts w:ascii="Trebuchet MS" w:eastAsia="Times New Roman" w:hAnsi="Trebuchet MS" w:cs="Arial"/>
          <w:b/>
          <w:bCs/>
          <w:sz w:val="24"/>
          <w:szCs w:val="24"/>
          <w:lang w:eastAsia="ro-RO"/>
        </w:rPr>
        <w:t xml:space="preserve"> GRUP ŢINTĂ</w:t>
      </w:r>
    </w:p>
    <w:p w:rsidR="00054661" w:rsidRPr="00054661" w:rsidRDefault="00054661" w:rsidP="00054661">
      <w:pPr>
        <w:spacing w:before="120" w:after="0" w:line="360" w:lineRule="auto"/>
        <w:ind w:right="17"/>
        <w:jc w:val="both"/>
        <w:outlineLvl w:val="0"/>
        <w:rPr>
          <w:rFonts w:ascii="Trebuchet MS" w:eastAsia="Arial Unicode MS" w:hAnsi="Trebuchet MS" w:cs="Arial"/>
          <w:bCs/>
          <w:color w:val="000000"/>
          <w:kern w:val="28"/>
          <w:sz w:val="24"/>
          <w:szCs w:val="24"/>
        </w:rPr>
      </w:pPr>
      <w:r w:rsidRPr="00054661">
        <w:rPr>
          <w:b/>
        </w:rPr>
        <w:t>Campania va viza angajatorii care au obligaţia autorizării funcţionării din punct de vedere SSM la inspectoratul teritorial de muncă, potrivit prevederilor Normelor Metodologice</w:t>
      </w:r>
      <w:r w:rsidRPr="00054661">
        <w:rPr>
          <w:rFonts w:ascii="Trebuchet MS" w:eastAsia="Arial Unicode MS" w:hAnsi="Trebuchet MS" w:cs="Arial"/>
          <w:bCs/>
          <w:color w:val="000000"/>
          <w:kern w:val="28"/>
          <w:sz w:val="24"/>
          <w:szCs w:val="24"/>
        </w:rPr>
        <w:t>.</w:t>
      </w:r>
    </w:p>
    <w:p w:rsidR="00054661" w:rsidRPr="00054661" w:rsidRDefault="00054661" w:rsidP="00054661">
      <w:pPr>
        <w:spacing w:after="0"/>
        <w:ind w:left="1418" w:right="17"/>
        <w:jc w:val="both"/>
        <w:outlineLvl w:val="0"/>
        <w:rPr>
          <w:rFonts w:ascii="Trebuchet MS" w:eastAsia="Arial Unicode MS" w:hAnsi="Trebuchet MS" w:cs="Arial"/>
          <w:bCs/>
          <w:color w:val="000000"/>
          <w:kern w:val="28"/>
          <w:sz w:val="24"/>
          <w:szCs w:val="24"/>
        </w:rPr>
      </w:pPr>
    </w:p>
    <w:p w:rsidR="00054661" w:rsidRPr="00054661" w:rsidRDefault="00054661" w:rsidP="00054661">
      <w:pPr>
        <w:keepNext/>
        <w:numPr>
          <w:ilvl w:val="0"/>
          <w:numId w:val="2"/>
        </w:numPr>
        <w:shd w:val="clear" w:color="auto" w:fill="CCECFF"/>
        <w:spacing w:after="0" w:line="240" w:lineRule="auto"/>
        <w:ind w:left="1418"/>
        <w:jc w:val="both"/>
        <w:outlineLvl w:val="3"/>
        <w:rPr>
          <w:rFonts w:ascii="Trebuchet MS" w:eastAsia="Times New Roman" w:hAnsi="Trebuchet MS" w:cs="Arial"/>
          <w:b/>
          <w:bCs/>
          <w:sz w:val="24"/>
          <w:szCs w:val="24"/>
          <w:lang w:eastAsia="ro-RO"/>
        </w:rPr>
      </w:pPr>
      <w:r w:rsidRPr="00054661">
        <w:rPr>
          <w:rFonts w:ascii="Trebuchet MS" w:eastAsia="Times New Roman" w:hAnsi="Trebuchet MS" w:cs="Arial"/>
          <w:b/>
          <w:bCs/>
          <w:sz w:val="24"/>
          <w:szCs w:val="24"/>
          <w:lang w:eastAsia="ro-RO"/>
        </w:rPr>
        <w:t xml:space="preserve"> DURATA ACŢIUNII </w:t>
      </w:r>
    </w:p>
    <w:p w:rsidR="00446459" w:rsidRPr="00762463" w:rsidRDefault="00054661" w:rsidP="00B30C56">
      <w:pPr>
        <w:spacing w:before="120" w:after="0" w:line="360" w:lineRule="auto"/>
        <w:ind w:right="17"/>
        <w:jc w:val="both"/>
        <w:outlineLvl w:val="0"/>
        <w:rPr>
          <w:rFonts w:ascii="Trebuchet MS" w:eastAsia="MS Mincho" w:hAnsi="Trebuchet MS" w:cs="Times New Roman"/>
          <w:b/>
          <w:sz w:val="24"/>
          <w:szCs w:val="24"/>
        </w:rPr>
      </w:pPr>
      <w:r w:rsidRPr="00054661">
        <w:rPr>
          <w:b/>
        </w:rPr>
        <w:t xml:space="preserve">Campania de verificare se va desfăşura </w:t>
      </w:r>
      <w:r>
        <w:rPr>
          <w:b/>
        </w:rPr>
        <w:t>pe parcursul anului</w:t>
      </w:r>
      <w:r w:rsidRPr="00054661">
        <w:rPr>
          <w:b/>
        </w:rPr>
        <w:t xml:space="preserve"> 2018. </w:t>
      </w:r>
      <w:bookmarkStart w:id="0" w:name="_GoBack"/>
      <w:bookmarkEnd w:id="0"/>
    </w:p>
    <w:sectPr w:rsidR="00446459" w:rsidRPr="00762463" w:rsidSect="00B30C56">
      <w:pgSz w:w="11906" w:h="16838"/>
      <w:pgMar w:top="1417" w:right="70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0A" w:rsidRDefault="00260E0A" w:rsidP="00054661">
      <w:pPr>
        <w:spacing w:after="0" w:line="240" w:lineRule="auto"/>
      </w:pPr>
      <w:r>
        <w:separator/>
      </w:r>
    </w:p>
  </w:endnote>
  <w:endnote w:type="continuationSeparator" w:id="0">
    <w:p w:rsidR="00260E0A" w:rsidRDefault="00260E0A" w:rsidP="0005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0A" w:rsidRDefault="00260E0A" w:rsidP="00054661">
      <w:pPr>
        <w:spacing w:after="0" w:line="240" w:lineRule="auto"/>
      </w:pPr>
      <w:r>
        <w:separator/>
      </w:r>
    </w:p>
  </w:footnote>
  <w:footnote w:type="continuationSeparator" w:id="0">
    <w:p w:rsidR="00260E0A" w:rsidRDefault="00260E0A" w:rsidP="00054661">
      <w:pPr>
        <w:spacing w:after="0" w:line="240" w:lineRule="auto"/>
      </w:pPr>
      <w:r>
        <w:continuationSeparator/>
      </w:r>
    </w:p>
  </w:footnote>
  <w:footnote w:id="1">
    <w:p w:rsidR="00054661" w:rsidRPr="00054661" w:rsidRDefault="00054661" w:rsidP="00054661">
      <w:pPr>
        <w:pStyle w:val="Textnotdesubsol"/>
        <w:jc w:val="both"/>
        <w:rPr>
          <w:rFonts w:ascii="Trebuchet MS" w:hAnsi="Trebuchet MS"/>
          <w:b/>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7AED"/>
    <w:multiLevelType w:val="hybridMultilevel"/>
    <w:tmpl w:val="11FA0922"/>
    <w:lvl w:ilvl="0" w:tplc="ED103300">
      <w:start w:val="1"/>
      <w:numFmt w:val="upperRoman"/>
      <w:lvlText w:val="%1."/>
      <w:lvlJc w:val="left"/>
      <w:pPr>
        <w:ind w:left="1855"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D330E5A"/>
    <w:multiLevelType w:val="hybridMultilevel"/>
    <w:tmpl w:val="2CE266AC"/>
    <w:lvl w:ilvl="0" w:tplc="04090001">
      <w:start w:val="1"/>
      <w:numFmt w:val="bullet"/>
      <w:lvlText w:val=""/>
      <w:lvlJc w:val="left"/>
      <w:pPr>
        <w:ind w:left="2880" w:hanging="360"/>
      </w:pPr>
      <w:rPr>
        <w:rFonts w:ascii="Symbol" w:hAnsi="Symbol" w:hint="default"/>
      </w:rPr>
    </w:lvl>
    <w:lvl w:ilvl="1" w:tplc="91AACCFE">
      <w:numFmt w:val="bullet"/>
      <w:lvlText w:val="-"/>
      <w:lvlJc w:val="left"/>
      <w:pPr>
        <w:ind w:left="3870" w:hanging="630"/>
      </w:pPr>
      <w:rPr>
        <w:rFonts w:ascii="Trebuchet MS" w:eastAsia="MS Mincho"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DA"/>
    <w:rsid w:val="00054661"/>
    <w:rsid w:val="000612D2"/>
    <w:rsid w:val="000A61DA"/>
    <w:rsid w:val="001E71AA"/>
    <w:rsid w:val="00260E0A"/>
    <w:rsid w:val="00446459"/>
    <w:rsid w:val="005059A7"/>
    <w:rsid w:val="00683E17"/>
    <w:rsid w:val="00717B6A"/>
    <w:rsid w:val="00762463"/>
    <w:rsid w:val="00A4002B"/>
    <w:rsid w:val="00A94A85"/>
    <w:rsid w:val="00AA7808"/>
    <w:rsid w:val="00B30C56"/>
    <w:rsid w:val="00D374A0"/>
    <w:rsid w:val="00E964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05466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54661"/>
    <w:rPr>
      <w:sz w:val="20"/>
      <w:szCs w:val="20"/>
    </w:rPr>
  </w:style>
  <w:style w:type="character" w:styleId="Robust">
    <w:name w:val="Strong"/>
    <w:uiPriority w:val="22"/>
    <w:qFormat/>
    <w:rsid w:val="00054661"/>
    <w:rPr>
      <w:b/>
      <w:bCs/>
    </w:rPr>
  </w:style>
  <w:style w:type="character" w:styleId="Referinnotdesubsol">
    <w:name w:val="footnote reference"/>
    <w:uiPriority w:val="99"/>
    <w:semiHidden/>
    <w:rsid w:val="00054661"/>
    <w:rPr>
      <w:vertAlign w:val="superscript"/>
    </w:rPr>
  </w:style>
  <w:style w:type="paragraph" w:styleId="Antet">
    <w:name w:val="header"/>
    <w:basedOn w:val="Normal"/>
    <w:link w:val="AntetCaracter"/>
    <w:uiPriority w:val="99"/>
    <w:unhideWhenUsed/>
    <w:rsid w:val="0005466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54661"/>
  </w:style>
  <w:style w:type="paragraph" w:styleId="Subsol">
    <w:name w:val="footer"/>
    <w:basedOn w:val="Normal"/>
    <w:link w:val="SubsolCaracter"/>
    <w:uiPriority w:val="99"/>
    <w:unhideWhenUsed/>
    <w:rsid w:val="0005466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4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054661"/>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54661"/>
    <w:rPr>
      <w:sz w:val="20"/>
      <w:szCs w:val="20"/>
    </w:rPr>
  </w:style>
  <w:style w:type="character" w:styleId="Robust">
    <w:name w:val="Strong"/>
    <w:uiPriority w:val="22"/>
    <w:qFormat/>
    <w:rsid w:val="00054661"/>
    <w:rPr>
      <w:b/>
      <w:bCs/>
    </w:rPr>
  </w:style>
  <w:style w:type="character" w:styleId="Referinnotdesubsol">
    <w:name w:val="footnote reference"/>
    <w:uiPriority w:val="99"/>
    <w:semiHidden/>
    <w:rsid w:val="00054661"/>
    <w:rPr>
      <w:vertAlign w:val="superscript"/>
    </w:rPr>
  </w:style>
  <w:style w:type="paragraph" w:styleId="Antet">
    <w:name w:val="header"/>
    <w:basedOn w:val="Normal"/>
    <w:link w:val="AntetCaracter"/>
    <w:uiPriority w:val="99"/>
    <w:unhideWhenUsed/>
    <w:rsid w:val="0005466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54661"/>
  </w:style>
  <w:style w:type="paragraph" w:styleId="Subsol">
    <w:name w:val="footer"/>
    <w:basedOn w:val="Normal"/>
    <w:link w:val="SubsolCaracter"/>
    <w:uiPriority w:val="99"/>
    <w:unhideWhenUsed/>
    <w:rsid w:val="0005466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5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54E3-419C-438C-8296-85058316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1084</Words>
  <Characters>6288</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 Gheorghe</dc:creator>
  <cp:lastModifiedBy>Balan Gheorghe</cp:lastModifiedBy>
  <cp:revision>3</cp:revision>
  <dcterms:created xsi:type="dcterms:W3CDTF">2018-06-29T08:48:00Z</dcterms:created>
  <dcterms:modified xsi:type="dcterms:W3CDTF">2018-06-29T09:01:00Z</dcterms:modified>
</cp:coreProperties>
</file>