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3" w:rsidRPr="00762463" w:rsidRDefault="00E96463" w:rsidP="00446459">
      <w:pPr>
        <w:jc w:val="both"/>
        <w:rPr>
          <w:b/>
        </w:rPr>
      </w:pPr>
      <w:r w:rsidRPr="00762463">
        <w:rPr>
          <w:b/>
        </w:rPr>
        <w:t>PROGRAMUL PROPRIU DE ACŢIUNI AL INSPECTORATULUI TERITORIAL DE MUNCĂ SUCEAVA PENTRU ANUL 201</w:t>
      </w:r>
      <w:r w:rsidR="00446459" w:rsidRPr="00762463">
        <w:rPr>
          <w:b/>
        </w:rPr>
        <w:t>8</w:t>
      </w:r>
    </w:p>
    <w:p w:rsidR="00446459" w:rsidRPr="00762463" w:rsidRDefault="00446459" w:rsidP="00446459">
      <w:pPr>
        <w:jc w:val="both"/>
        <w:rPr>
          <w:b/>
        </w:rPr>
      </w:pPr>
      <w:r w:rsidRPr="00762463">
        <w:rPr>
          <w:rFonts w:ascii="Trebuchet MS" w:eastAsia="Times New Roman" w:hAnsi="Trebuchet MS" w:cs="Times New Roman"/>
          <w:b/>
          <w:i/>
          <w:iCs/>
          <w:lang w:eastAsia="ro-RO"/>
        </w:rPr>
        <w:t>CAMPANII NAŢIONALE ÎN DOMENIUL SECURITĂŢII ŞI SĂNĂTĂŢII ÎN MUNCĂ</w:t>
      </w:r>
    </w:p>
    <w:p w:rsidR="00446459" w:rsidRPr="00762463" w:rsidRDefault="00446459" w:rsidP="00446459">
      <w:pPr>
        <w:jc w:val="both"/>
        <w:rPr>
          <w:b/>
        </w:rPr>
      </w:pPr>
      <w:r w:rsidRPr="00762463">
        <w:rPr>
          <w:b/>
        </w:rPr>
        <w:t>“</w:t>
      </w:r>
      <w:r w:rsidR="00762463" w:rsidRPr="00762463">
        <w:rPr>
          <w:b/>
        </w:rPr>
        <w:t>VERIFICAREA MODULUI DE RESPECTARE A PREVEDERILOR LEGII NR. 52/2011 PRIVIND EXERCITAREA UNOR ACTIVITĂȚI CU CARACTER OCAZIONAL DESFĂȘURATE DE ZILIERI, CU MODIFICĂRILE ȘI COMPLETĂRILE ULTERIOARE.”</w:t>
      </w:r>
    </w:p>
    <w:p w:rsidR="00446459" w:rsidRPr="00762463" w:rsidRDefault="00446459" w:rsidP="00446459">
      <w:pPr>
        <w:rPr>
          <w:b/>
        </w:rPr>
      </w:pPr>
    </w:p>
    <w:p w:rsidR="00446459" w:rsidRPr="00762463" w:rsidRDefault="00446459" w:rsidP="00446459">
      <w:pPr>
        <w:spacing w:after="12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I.    Obiectivele campaniei:</w:t>
      </w:r>
    </w:p>
    <w:p w:rsidR="00446459" w:rsidRDefault="00446459" w:rsidP="005059A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•</w:t>
      </w:r>
      <w:r w:rsidRPr="00762463">
        <w:rPr>
          <w:rFonts w:ascii="Trebuchet MS" w:eastAsia="MS Mincho" w:hAnsi="Trebuchet MS" w:cs="Times New Roman"/>
          <w:b/>
          <w:sz w:val="24"/>
          <w:szCs w:val="24"/>
        </w:rPr>
        <w:tab/>
      </w:r>
      <w:r w:rsidR="00762463" w:rsidRPr="00762463">
        <w:rPr>
          <w:rFonts w:ascii="Trebuchet MS" w:eastAsia="MS Mincho" w:hAnsi="Trebuchet MS" w:cs="Times New Roman"/>
          <w:b/>
          <w:sz w:val="24"/>
          <w:szCs w:val="24"/>
        </w:rPr>
        <w:t>Identificarea beneficiarilor de lucrări care utilizează zilieri și luarea măsurilor în domeniul securității și sănătății în muncă care</w:t>
      </w:r>
      <w:r w:rsidR="00762463">
        <w:rPr>
          <w:rFonts w:ascii="Trebuchet MS" w:eastAsia="MS Mincho" w:hAnsi="Trebuchet MS" w:cs="Times New Roman"/>
          <w:b/>
          <w:sz w:val="24"/>
          <w:szCs w:val="24"/>
        </w:rPr>
        <w:t xml:space="preserve"> se impun pentru nerespectarea de către aceștia a </w:t>
      </w:r>
      <w:r w:rsidR="00762463" w:rsidRPr="00762463">
        <w:rPr>
          <w:rFonts w:ascii="Trebuchet MS" w:eastAsia="MS Mincho" w:hAnsi="Trebuchet MS" w:cs="Times New Roman"/>
          <w:b/>
          <w:sz w:val="24"/>
          <w:szCs w:val="24"/>
        </w:rPr>
        <w:t>prevederilor legii nr. 52/2011 privind exercitarea unor activități cu caracter ocazional</w:t>
      </w:r>
      <w:r w:rsidR="00762463">
        <w:rPr>
          <w:rFonts w:ascii="Trebuchet MS" w:eastAsia="MS Mincho" w:hAnsi="Trebuchet MS" w:cs="Times New Roman"/>
          <w:b/>
          <w:sz w:val="24"/>
          <w:szCs w:val="24"/>
        </w:rPr>
        <w:t>,</w:t>
      </w:r>
      <w:r w:rsidR="00762463" w:rsidRPr="00762463">
        <w:rPr>
          <w:rFonts w:ascii="Trebuchet MS" w:eastAsia="MS Mincho" w:hAnsi="Trebuchet MS" w:cs="Times New Roman"/>
          <w:b/>
          <w:sz w:val="24"/>
          <w:szCs w:val="24"/>
        </w:rPr>
        <w:t xml:space="preserve"> cu modificările și completările ulterioare</w:t>
      </w:r>
      <w:r w:rsidR="00762463">
        <w:rPr>
          <w:rFonts w:ascii="Trebuchet MS" w:eastAsia="MS Mincho" w:hAnsi="Trebuchet MS" w:cs="Times New Roman"/>
          <w:b/>
          <w:sz w:val="24"/>
          <w:szCs w:val="24"/>
        </w:rPr>
        <w:t xml:space="preserve"> și a normelor de aplicare ale acestor legi</w:t>
      </w:r>
      <w:r w:rsidR="00762463" w:rsidRPr="00762463">
        <w:rPr>
          <w:rFonts w:ascii="Trebuchet MS" w:eastAsia="MS Mincho" w:hAnsi="Trebuchet MS" w:cs="Times New Roman"/>
          <w:b/>
          <w:sz w:val="24"/>
          <w:szCs w:val="24"/>
        </w:rPr>
        <w:t>;</w:t>
      </w:r>
    </w:p>
    <w:p w:rsidR="00683E17" w:rsidRPr="00683E17" w:rsidRDefault="00446459" w:rsidP="005059A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•</w:t>
      </w:r>
      <w:r w:rsidRPr="00762463">
        <w:rPr>
          <w:rFonts w:ascii="Trebuchet MS" w:eastAsia="MS Mincho" w:hAnsi="Trebuchet MS" w:cs="Times New Roman"/>
          <w:b/>
          <w:sz w:val="24"/>
          <w:szCs w:val="24"/>
        </w:rPr>
        <w:tab/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Creşterea gradului de conştientizare al beneficiarilor şi zilierilor care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desfăşoară activităţi cu caracter ocazional în domeniile stabilite de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legiuitor, în ceea ce priveşte necesitatea aplicării şi respectării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prevederilor legale în domeniul securităţii şi sănătăţii în muncă, stipulate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de Legea nr. 52/2011, cu modificările şi completările ulterioare.</w:t>
      </w:r>
    </w:p>
    <w:p w:rsidR="00683E17" w:rsidRPr="00683E17" w:rsidRDefault="00A4002B" w:rsidP="00683E1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•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   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Diminuarea consecinţelor sociale şi economice negative care derivă din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nerespectarea de către beneficiarii din domeniile controlate, a prevederilor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Legii nr.52/2011, cu modificările şi completările ulterioare şi a normelor de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aplicare ale acesteia;</w:t>
      </w:r>
      <w:bookmarkStart w:id="0" w:name="_GoBack"/>
      <w:bookmarkEnd w:id="0"/>
    </w:p>
    <w:p w:rsidR="00683E17" w:rsidRPr="00683E17" w:rsidRDefault="00A4002B" w:rsidP="00683E1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•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  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MS Mincho" w:hAnsi="Trebuchet MS" w:cs="Times New Roman"/>
          <w:b/>
          <w:sz w:val="24"/>
          <w:szCs w:val="24"/>
        </w:rPr>
        <w:t xml:space="preserve">  </w:t>
      </w:r>
      <w:r w:rsidR="00683E17" w:rsidRPr="00683E17">
        <w:rPr>
          <w:rFonts w:ascii="Trebuchet MS" w:eastAsia="MS Mincho" w:hAnsi="Trebuchet MS" w:cs="Times New Roman"/>
          <w:b/>
          <w:sz w:val="24"/>
          <w:szCs w:val="24"/>
        </w:rPr>
        <w:t>Determinarea beneficiarilor de a respecta obligaţia de a înfiinţa, completa</w:t>
      </w:r>
    </w:p>
    <w:p w:rsidR="00683E17" w:rsidRDefault="00683E17" w:rsidP="00683E1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683E17">
        <w:rPr>
          <w:rFonts w:ascii="Trebuchet MS" w:eastAsia="MS Mincho" w:hAnsi="Trebuchet MS" w:cs="Times New Roman"/>
          <w:b/>
          <w:sz w:val="24"/>
          <w:szCs w:val="24"/>
        </w:rPr>
        <w:t>registrul de evidenţă a zilierilor şi de a transmite un extras al acestuia la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Pr="00683E17">
        <w:rPr>
          <w:rFonts w:ascii="Trebuchet MS" w:eastAsia="MS Mincho" w:hAnsi="Trebuchet MS" w:cs="Times New Roman"/>
          <w:b/>
          <w:sz w:val="24"/>
          <w:szCs w:val="24"/>
        </w:rPr>
        <w:t>inspectoratul teritorial de muncă în raza căruia societatea îşi are sediul, în</w:t>
      </w:r>
      <w:r w:rsidR="00A4002B">
        <w:rPr>
          <w:rFonts w:ascii="Trebuchet MS" w:eastAsia="MS Mincho" w:hAnsi="Trebuchet MS" w:cs="Times New Roman"/>
          <w:b/>
          <w:sz w:val="24"/>
          <w:szCs w:val="24"/>
        </w:rPr>
        <w:t xml:space="preserve"> </w:t>
      </w:r>
      <w:r w:rsidRPr="00683E17">
        <w:rPr>
          <w:rFonts w:ascii="Trebuchet MS" w:eastAsia="MS Mincho" w:hAnsi="Trebuchet MS" w:cs="Times New Roman"/>
          <w:b/>
          <w:sz w:val="24"/>
          <w:szCs w:val="24"/>
        </w:rPr>
        <w:t>termenul legal.</w:t>
      </w:r>
    </w:p>
    <w:p w:rsidR="00683E17" w:rsidRPr="00762463" w:rsidRDefault="00683E17" w:rsidP="00683E17">
      <w:pPr>
        <w:spacing w:after="0"/>
        <w:jc w:val="both"/>
        <w:rPr>
          <w:rFonts w:ascii="Trebuchet MS" w:eastAsia="MS Mincho" w:hAnsi="Trebuchet MS" w:cs="Times New Roman"/>
          <w:b/>
          <w:sz w:val="24"/>
          <w:szCs w:val="24"/>
        </w:rPr>
      </w:pPr>
    </w:p>
    <w:p w:rsidR="00446459" w:rsidRPr="00762463" w:rsidRDefault="00446459" w:rsidP="00446459">
      <w:pPr>
        <w:spacing w:after="12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II. Motivarea campaniei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În prezent reglementarea muncii ziliere este stabilită de prevederile Legii nr.</w:t>
      </w:r>
      <w:r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52/2011 privind exercitarea unor activităţi cu caracter ocazional desfăşurate de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zilieri, cu modificările și completările ulterioare, precum şi de dispozițiile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normelor metodologice de aplicare ale acestei legi.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Având în vedere faptul că munca zilierilor presupune desfăşurarea de activităţi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necalificate cu caracter ocazional pentru un beneficiar de lucrări, persoană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juridică, persoană fizică autorizată, întreprindere individuală, întreprindere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familială, adoptarea şi punerea în aplicare a acestor acte normative au avut drept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consecinţă creşterea gradului de ocupare pe piaţa muncii a persoanelor din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categoria de populaţie care nu are o calificare profesională sau este fără educaţie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şcolară.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Analiza pieţei muncii şi a numărului de zilieri înregistraţi la inspectoratele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 xml:space="preserve">teritoriale de muncă relevă faptul că actualul cadru normativ care </w:t>
      </w:r>
      <w:r w:rsidR="00683E17">
        <w:rPr>
          <w:rFonts w:ascii="Trebuchet MS" w:hAnsi="Trebuchet MS" w:cs="TrebuchetMS"/>
          <w:b/>
          <w:sz w:val="24"/>
          <w:szCs w:val="24"/>
        </w:rPr>
        <w:t>r</w:t>
      </w:r>
      <w:r w:rsidRPr="00762463">
        <w:rPr>
          <w:rFonts w:ascii="Trebuchet MS" w:hAnsi="Trebuchet MS" w:cs="TrebuchetMS"/>
          <w:b/>
          <w:sz w:val="24"/>
          <w:szCs w:val="24"/>
        </w:rPr>
        <w:t>eglementează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 xml:space="preserve">munca zilieră, deşi a dus la o creştere semnificativă a numărului </w:t>
      </w:r>
      <w:r w:rsidRPr="00762463">
        <w:rPr>
          <w:rFonts w:ascii="Trebuchet MS" w:hAnsi="Trebuchet MS" w:cs="TrebuchetMS"/>
          <w:b/>
          <w:sz w:val="24"/>
          <w:szCs w:val="24"/>
        </w:rPr>
        <w:lastRenderedPageBreak/>
        <w:t>de persoane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ocupate pe piaţa muncii, nu a constituit un stimulent pentru utilizarea acestei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forme de ocupare, avându-se în vedere numărul de accidente de muncă produse la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nivel național.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De la data publicării Legii nr. 52/2011 privind exercitarea unor activităţi cu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caracter ocazional desfăşurate de zilieri, respectiv 15 aprilie 2011, situația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zilierilor înregistraţi la inspectoratele teritoriale de muncă a fost următoarea: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2011 au fost înregistrați 171.251 zilieri;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2012 au fost înregistrați 279.990 zilieri;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2013 au fost înregistrați 302.809 zilieri;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2014 au fost înregistrați 299.606 zilieri;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2015 au fost înregistrați 259.393 zilieri;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2016 au fost înregistrați 261.457 zilieri.</w:t>
      </w:r>
    </w:p>
    <w:p w:rsidR="00762463" w:rsidRPr="00762463" w:rsidRDefault="00762463" w:rsidP="007624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- pentru anul 2017 au fost înregistrați 105.265 zilieri.</w:t>
      </w:r>
    </w:p>
    <w:p w:rsidR="00683E17" w:rsidRPr="00683E17" w:rsidRDefault="00762463" w:rsidP="00683E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  <w:r w:rsidRPr="00762463">
        <w:rPr>
          <w:rFonts w:ascii="Trebuchet MS" w:hAnsi="Trebuchet MS" w:cs="TrebuchetMS"/>
          <w:b/>
          <w:sz w:val="24"/>
          <w:szCs w:val="24"/>
        </w:rPr>
        <w:t>Având în vedere atribuţiile specifice ale Inspecţiei Muncii stabilite atât prin lege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cât şi prin Programul Cadru de Acţiuni al acestei autorităţi de stat pentru anul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>2018, aprobat de Inspectorul General de Stat, se impune intensificarea acţiunilor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Pr="00762463">
        <w:rPr>
          <w:rFonts w:ascii="Trebuchet MS" w:hAnsi="Trebuchet MS" w:cs="TrebuchetMS"/>
          <w:b/>
          <w:sz w:val="24"/>
          <w:szCs w:val="24"/>
        </w:rPr>
        <w:t xml:space="preserve">de control în vederea verificării modului în care se aplică şi respectă </w:t>
      </w:r>
      <w:r w:rsidRPr="00683E17">
        <w:rPr>
          <w:rFonts w:ascii="Trebuchet MS" w:hAnsi="Trebuchet MS" w:cs="TrebuchetMS"/>
          <w:b/>
          <w:sz w:val="24"/>
          <w:szCs w:val="24"/>
        </w:rPr>
        <w:t>cerinţele</w:t>
      </w:r>
      <w:r w:rsidR="00683E17" w:rsidRP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="00683E17" w:rsidRPr="00683E17">
        <w:rPr>
          <w:rFonts w:ascii="Trebuchet MS" w:hAnsi="Trebuchet MS" w:cs="TrebuchetMS"/>
          <w:b/>
          <w:sz w:val="24"/>
          <w:szCs w:val="24"/>
        </w:rPr>
        <w:t>prevederilor Legii nr. 52/2011 privind exercitarea unor activităţi cu caracter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="00683E17" w:rsidRPr="00683E17">
        <w:rPr>
          <w:rFonts w:ascii="Trebuchet MS" w:hAnsi="Trebuchet MS" w:cs="TrebuchetMS"/>
          <w:b/>
          <w:sz w:val="24"/>
          <w:szCs w:val="24"/>
        </w:rPr>
        <w:t>ocazional desfăşurate de zilieri, cu modificările şi completările ulterioare, precum</w:t>
      </w:r>
      <w:r w:rsidR="00683E17">
        <w:rPr>
          <w:rFonts w:ascii="Trebuchet MS" w:hAnsi="Trebuchet MS" w:cs="TrebuchetMS"/>
          <w:b/>
          <w:sz w:val="24"/>
          <w:szCs w:val="24"/>
        </w:rPr>
        <w:t xml:space="preserve"> </w:t>
      </w:r>
      <w:r w:rsidR="00683E17" w:rsidRPr="00683E17">
        <w:rPr>
          <w:rFonts w:ascii="Trebuchet MS" w:hAnsi="Trebuchet MS" w:cs="TrebuchetMS"/>
          <w:b/>
          <w:sz w:val="24"/>
          <w:szCs w:val="24"/>
        </w:rPr>
        <w:t>şi dispozițiile normelor metodologice de aplicare ale acestei legi.</w:t>
      </w:r>
    </w:p>
    <w:p w:rsidR="00683E17" w:rsidRDefault="00683E17" w:rsidP="00683E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MS"/>
          <w:b/>
          <w:sz w:val="24"/>
          <w:szCs w:val="24"/>
        </w:rPr>
      </w:pPr>
    </w:p>
    <w:p w:rsidR="00446459" w:rsidRDefault="00446459" w:rsidP="00A400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>III.</w:t>
      </w:r>
      <w:r w:rsidRPr="00762463">
        <w:rPr>
          <w:rFonts w:ascii="Trebuchet MS" w:eastAsia="MS Mincho" w:hAnsi="Trebuchet MS" w:cs="Times New Roman"/>
          <w:b/>
          <w:sz w:val="24"/>
          <w:szCs w:val="24"/>
        </w:rPr>
        <w:tab/>
        <w:t>Durata campaniei</w:t>
      </w:r>
    </w:p>
    <w:p w:rsidR="00A4002B" w:rsidRPr="00762463" w:rsidRDefault="00A4002B" w:rsidP="00A400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b/>
          <w:sz w:val="24"/>
          <w:szCs w:val="24"/>
        </w:rPr>
      </w:pPr>
    </w:p>
    <w:p w:rsidR="00446459" w:rsidRPr="00762463" w:rsidRDefault="00446459" w:rsidP="00762463">
      <w:pPr>
        <w:spacing w:after="120"/>
        <w:jc w:val="both"/>
        <w:rPr>
          <w:rFonts w:ascii="Trebuchet MS" w:eastAsia="MS Mincho" w:hAnsi="Trebuchet MS" w:cs="Times New Roman"/>
          <w:b/>
          <w:sz w:val="24"/>
          <w:szCs w:val="24"/>
        </w:rPr>
      </w:pPr>
      <w:r w:rsidRPr="00762463">
        <w:rPr>
          <w:rFonts w:ascii="Trebuchet MS" w:eastAsia="MS Mincho" w:hAnsi="Trebuchet MS" w:cs="Times New Roman"/>
          <w:b/>
          <w:sz w:val="24"/>
          <w:szCs w:val="24"/>
        </w:rPr>
        <w:t xml:space="preserve">Această campanie naţională în domeniul securităţii şi sănătăţii în muncă se va desfăşura în până la sfârșitul anului 2018. </w:t>
      </w:r>
    </w:p>
    <w:p w:rsidR="00446459" w:rsidRPr="00762463" w:rsidRDefault="00446459" w:rsidP="00446459">
      <w:pPr>
        <w:spacing w:after="120"/>
        <w:jc w:val="both"/>
        <w:rPr>
          <w:rFonts w:ascii="Trebuchet MS" w:eastAsia="MS Mincho" w:hAnsi="Trebuchet MS" w:cs="Times New Roman"/>
          <w:b/>
          <w:sz w:val="24"/>
          <w:szCs w:val="24"/>
        </w:rPr>
      </w:pPr>
    </w:p>
    <w:sectPr w:rsidR="00446459" w:rsidRPr="0076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0E5A"/>
    <w:multiLevelType w:val="hybridMultilevel"/>
    <w:tmpl w:val="2CE26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1AACCFE">
      <w:numFmt w:val="bullet"/>
      <w:lvlText w:val="-"/>
      <w:lvlJc w:val="left"/>
      <w:pPr>
        <w:ind w:left="3870" w:hanging="63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A"/>
    <w:rsid w:val="000612D2"/>
    <w:rsid w:val="000A61DA"/>
    <w:rsid w:val="001E71AA"/>
    <w:rsid w:val="00446459"/>
    <w:rsid w:val="005059A7"/>
    <w:rsid w:val="00683E17"/>
    <w:rsid w:val="00717B6A"/>
    <w:rsid w:val="00762463"/>
    <w:rsid w:val="00A4002B"/>
    <w:rsid w:val="00AA7808"/>
    <w:rsid w:val="00D374A0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Gheorghe</dc:creator>
  <cp:lastModifiedBy>Balan Gheorghe</cp:lastModifiedBy>
  <cp:revision>5</cp:revision>
  <dcterms:created xsi:type="dcterms:W3CDTF">2018-06-29T06:55:00Z</dcterms:created>
  <dcterms:modified xsi:type="dcterms:W3CDTF">2018-06-29T07:45:00Z</dcterms:modified>
</cp:coreProperties>
</file>