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24D33DAB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DC1D4F" w:rsidRPr="00DC1D4F" w:rsidRDefault="00E741BC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19.01.2021</w:t>
      </w:r>
    </w:p>
    <w:p w:rsidR="00DC1D4F" w:rsidRP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>COMUNICAT DE PRESĂ</w:t>
      </w:r>
    </w:p>
    <w:p w:rsidR="002B11C2" w:rsidRDefault="002B11C2" w:rsidP="002B11C2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2B11C2">
        <w:rPr>
          <w:rFonts w:ascii="Trebuchet MS" w:hAnsi="Trebuchet MS"/>
          <w:b/>
          <w:sz w:val="24"/>
          <w:szCs w:val="24"/>
        </w:rPr>
        <w:t xml:space="preserve">Sinteza activităţii şi controalelor efectuate în domeniile relaţii de muncă și </w:t>
      </w:r>
      <w:bookmarkStart w:id="0" w:name="_GoBack"/>
      <w:bookmarkEnd w:id="0"/>
      <w:r w:rsidRPr="002B11C2">
        <w:rPr>
          <w:rFonts w:ascii="Trebuchet MS" w:hAnsi="Trebuchet MS"/>
          <w:b/>
          <w:sz w:val="24"/>
          <w:szCs w:val="24"/>
        </w:rPr>
        <w:t xml:space="preserve">securitate şi sănătate în muncă în luna </w:t>
      </w:r>
      <w:r w:rsidR="00E741BC">
        <w:rPr>
          <w:rFonts w:ascii="Trebuchet MS" w:hAnsi="Trebuchet MS"/>
          <w:b/>
          <w:sz w:val="24"/>
          <w:szCs w:val="24"/>
        </w:rPr>
        <w:t>DECEMBRIE</w:t>
      </w:r>
      <w:r w:rsidRPr="002B11C2">
        <w:rPr>
          <w:rFonts w:ascii="Trebuchet MS" w:hAnsi="Trebuchet MS"/>
          <w:b/>
          <w:sz w:val="24"/>
          <w:szCs w:val="24"/>
        </w:rPr>
        <w:t xml:space="preserve"> 2020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În perioada 01-</w:t>
      </w:r>
      <w:r>
        <w:rPr>
          <w:rFonts w:ascii="Trebuchet MS" w:hAnsi="Trebuchet MS"/>
          <w:sz w:val="24"/>
          <w:szCs w:val="24"/>
        </w:rPr>
        <w:t>3</w:t>
      </w:r>
      <w:r w:rsidR="00E741BC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.</w:t>
      </w:r>
      <w:r w:rsidR="00203190">
        <w:rPr>
          <w:rFonts w:ascii="Trebuchet MS" w:hAnsi="Trebuchet MS"/>
          <w:sz w:val="24"/>
          <w:szCs w:val="24"/>
        </w:rPr>
        <w:t>1</w:t>
      </w:r>
      <w:r w:rsidR="00E741BC">
        <w:rPr>
          <w:rFonts w:ascii="Trebuchet MS" w:hAnsi="Trebuchet MS"/>
          <w:sz w:val="24"/>
          <w:szCs w:val="24"/>
        </w:rPr>
        <w:t>2</w:t>
      </w:r>
      <w:r w:rsidRPr="00774F4E">
        <w:rPr>
          <w:rFonts w:ascii="Trebuchet MS" w:hAnsi="Trebuchet MS"/>
          <w:sz w:val="24"/>
          <w:szCs w:val="24"/>
        </w:rPr>
        <w:t>.2020, activitatea Inspectoratului Teritorial de Muncă Suceava a avut ca obiectiv principal realizarea Programului de acţiuni al Inspectoratului Teritorial de Muncă pe anul 2020, a obiectivelor stabilite potrivit Legii nr. 108/1999 republicată, Legii nr. 53/2003 republicată şi ale Legii nr. 319/2006, cu modificările şi completările ulterioare.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În perioada mai sus menţionată, inspectorii de muncă din cadrul I.T.M. Suceava au efectuat </w:t>
      </w:r>
      <w:r w:rsidR="00E741BC">
        <w:rPr>
          <w:rFonts w:ascii="Trebuchet MS" w:hAnsi="Trebuchet MS"/>
          <w:sz w:val="24"/>
          <w:szCs w:val="24"/>
        </w:rPr>
        <w:t>209</w:t>
      </w:r>
      <w:r w:rsidR="004A707B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>controale, din care</w:t>
      </w:r>
      <w:r>
        <w:rPr>
          <w:rFonts w:ascii="Trebuchet MS" w:hAnsi="Trebuchet MS"/>
          <w:sz w:val="24"/>
          <w:szCs w:val="24"/>
        </w:rPr>
        <w:t xml:space="preserve"> </w:t>
      </w:r>
      <w:r w:rsidR="00E741BC">
        <w:rPr>
          <w:rFonts w:ascii="Trebuchet MS" w:hAnsi="Trebuchet MS"/>
          <w:sz w:val="24"/>
          <w:szCs w:val="24"/>
        </w:rPr>
        <w:t>159</w:t>
      </w:r>
      <w:r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>în domeniul relaţiilor de muncă şi</w:t>
      </w:r>
      <w:r w:rsidR="004A707B">
        <w:rPr>
          <w:rFonts w:ascii="Trebuchet MS" w:hAnsi="Trebuchet MS"/>
          <w:sz w:val="24"/>
          <w:szCs w:val="24"/>
        </w:rPr>
        <w:t xml:space="preserve"> </w:t>
      </w:r>
      <w:r w:rsidR="00E741BC">
        <w:rPr>
          <w:rFonts w:ascii="Trebuchet MS" w:hAnsi="Trebuchet MS"/>
          <w:sz w:val="24"/>
          <w:szCs w:val="24"/>
        </w:rPr>
        <w:t>50</w:t>
      </w:r>
      <w:r w:rsidRPr="00774F4E">
        <w:rPr>
          <w:rFonts w:ascii="Trebuchet MS" w:hAnsi="Trebuchet MS"/>
          <w:sz w:val="24"/>
          <w:szCs w:val="24"/>
        </w:rPr>
        <w:t xml:space="preserve"> în domeniul securităţii şi sănătăţii în muncă. Pentru deficienţele constatate, au fost aplicate</w:t>
      </w:r>
      <w:r>
        <w:rPr>
          <w:rFonts w:ascii="Trebuchet MS" w:hAnsi="Trebuchet MS"/>
          <w:sz w:val="24"/>
          <w:szCs w:val="24"/>
        </w:rPr>
        <w:t xml:space="preserve"> </w:t>
      </w:r>
      <w:r w:rsidR="00E741BC">
        <w:rPr>
          <w:rFonts w:ascii="Trebuchet MS" w:hAnsi="Trebuchet MS"/>
          <w:sz w:val="24"/>
          <w:szCs w:val="24"/>
        </w:rPr>
        <w:t>82</w:t>
      </w:r>
      <w:r w:rsidR="00241B78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sancţiuni contravenţionale în valoare totală de </w:t>
      </w:r>
      <w:r w:rsidR="00DF52F2">
        <w:rPr>
          <w:rFonts w:ascii="Trebuchet MS" w:hAnsi="Trebuchet MS"/>
          <w:sz w:val="24"/>
          <w:szCs w:val="24"/>
        </w:rPr>
        <w:t>235.500</w:t>
      </w:r>
      <w:r w:rsidRPr="00774F4E">
        <w:rPr>
          <w:rFonts w:ascii="Trebuchet MS" w:hAnsi="Trebuchet MS"/>
          <w:sz w:val="24"/>
          <w:szCs w:val="24"/>
        </w:rPr>
        <w:t xml:space="preserve"> lei.</w:t>
      </w:r>
    </w:p>
    <w:p w:rsidR="002B11C2" w:rsidRPr="00774F4E" w:rsidRDefault="002B11C2" w:rsidP="002B11C2">
      <w:pPr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ACTIVITATEA DESFĂŞURATĂ ÎN LUNA </w:t>
      </w:r>
      <w:r w:rsidR="0012638F">
        <w:rPr>
          <w:rFonts w:ascii="Trebuchet MS" w:hAnsi="Trebuchet MS"/>
          <w:sz w:val="24"/>
          <w:szCs w:val="24"/>
        </w:rPr>
        <w:t>DECEMBRIE</w:t>
      </w:r>
    </w:p>
    <w:p w:rsidR="002B11C2" w:rsidRPr="00774F4E" w:rsidRDefault="002B11C2" w:rsidP="002B11C2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t>1. Activitatea în domeniul relaţiilor de muncă: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* În urma celor </w:t>
      </w:r>
      <w:r w:rsidR="00C53874">
        <w:rPr>
          <w:rFonts w:ascii="Trebuchet MS" w:hAnsi="Trebuchet MS"/>
          <w:sz w:val="24"/>
          <w:szCs w:val="24"/>
        </w:rPr>
        <w:t>159</w:t>
      </w:r>
      <w:r w:rsidR="00241B78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>controale efectuate, s-au aplicat</w:t>
      </w:r>
      <w:r w:rsidR="00C53874">
        <w:rPr>
          <w:rFonts w:ascii="Trebuchet MS" w:hAnsi="Trebuchet MS"/>
          <w:sz w:val="24"/>
          <w:szCs w:val="24"/>
        </w:rPr>
        <w:t xml:space="preserve"> 59</w:t>
      </w:r>
      <w:r w:rsidR="00E353B6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sancţiuni contravenţionale, valoarea amenzilor aplicate fiind de </w:t>
      </w:r>
      <w:r w:rsidR="00C53874">
        <w:rPr>
          <w:rFonts w:ascii="Trebuchet MS" w:hAnsi="Trebuchet MS"/>
          <w:sz w:val="24"/>
          <w:szCs w:val="24"/>
        </w:rPr>
        <w:t>227.000</w:t>
      </w:r>
      <w:r w:rsidR="00E353B6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lei. </w:t>
      </w:r>
    </w:p>
    <w:p w:rsidR="002B11C2" w:rsidRPr="00800065" w:rsidRDefault="002B11C2" w:rsidP="002B11C2">
      <w:pPr>
        <w:jc w:val="both"/>
        <w:rPr>
          <w:rFonts w:ascii="Trebuchet MS" w:hAnsi="Trebuchet MS"/>
          <w:sz w:val="24"/>
          <w:szCs w:val="24"/>
        </w:rPr>
      </w:pPr>
      <w:r w:rsidRPr="00800065">
        <w:rPr>
          <w:rFonts w:ascii="Trebuchet MS" w:hAnsi="Trebuchet MS"/>
          <w:sz w:val="24"/>
          <w:szCs w:val="24"/>
        </w:rPr>
        <w:t>Au fost depistate</w:t>
      </w:r>
      <w:r w:rsidR="00906348" w:rsidRPr="00800065">
        <w:rPr>
          <w:rFonts w:ascii="Trebuchet MS" w:hAnsi="Trebuchet MS"/>
          <w:sz w:val="24"/>
          <w:szCs w:val="24"/>
        </w:rPr>
        <w:t xml:space="preserve"> </w:t>
      </w:r>
      <w:r w:rsidR="00556B66" w:rsidRPr="00800065">
        <w:rPr>
          <w:rFonts w:ascii="Trebuchet MS" w:hAnsi="Trebuchet MS"/>
          <w:sz w:val="24"/>
          <w:szCs w:val="24"/>
        </w:rPr>
        <w:t>14</w:t>
      </w:r>
      <w:r w:rsidR="00906348" w:rsidRPr="00800065">
        <w:rPr>
          <w:rFonts w:ascii="Trebuchet MS" w:hAnsi="Trebuchet MS"/>
          <w:sz w:val="24"/>
          <w:szCs w:val="24"/>
        </w:rPr>
        <w:t xml:space="preserve"> </w:t>
      </w:r>
      <w:r w:rsidRPr="00800065">
        <w:rPr>
          <w:rFonts w:ascii="Trebuchet MS" w:hAnsi="Trebuchet MS"/>
          <w:sz w:val="24"/>
          <w:szCs w:val="24"/>
        </w:rPr>
        <w:t>persoane care desfăşurau muncă nedeclarată, din care:</w:t>
      </w:r>
    </w:p>
    <w:p w:rsidR="00906348" w:rsidRPr="00800065" w:rsidRDefault="00906348" w:rsidP="0090634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800065">
        <w:rPr>
          <w:rFonts w:ascii="Trebuchet MS" w:hAnsi="Trebuchet MS"/>
          <w:sz w:val="24"/>
          <w:szCs w:val="24"/>
        </w:rPr>
        <w:t>- 1 persoană depistată la muncă în perioada în care are contractul individual de muncă suspendat;</w:t>
      </w:r>
    </w:p>
    <w:p w:rsidR="00906348" w:rsidRPr="004509DC" w:rsidRDefault="00906348" w:rsidP="00906348">
      <w:pPr>
        <w:spacing w:line="360" w:lineRule="auto"/>
        <w:jc w:val="both"/>
        <w:rPr>
          <w:rFonts w:ascii="Trebuchet MS" w:hAnsi="Trebuchet MS"/>
        </w:rPr>
      </w:pPr>
      <w:r w:rsidRPr="00800065">
        <w:rPr>
          <w:rFonts w:ascii="Trebuchet MS" w:hAnsi="Trebuchet MS"/>
        </w:rPr>
        <w:t xml:space="preserve">- </w:t>
      </w:r>
      <w:r w:rsidR="008043F1" w:rsidRPr="00800065">
        <w:rPr>
          <w:rFonts w:ascii="Trebuchet MS" w:hAnsi="Trebuchet MS"/>
        </w:rPr>
        <w:t>4</w:t>
      </w:r>
      <w:r w:rsidRPr="00800065">
        <w:rPr>
          <w:rFonts w:ascii="Trebuchet MS" w:hAnsi="Trebuchet MS"/>
        </w:rPr>
        <w:t xml:space="preserve"> persoan</w:t>
      </w:r>
      <w:r w:rsidR="00F82000">
        <w:rPr>
          <w:rFonts w:ascii="Trebuchet MS" w:hAnsi="Trebuchet MS"/>
        </w:rPr>
        <w:t>e</w:t>
      </w:r>
      <w:r w:rsidRPr="00800065">
        <w:rPr>
          <w:rFonts w:ascii="Trebuchet MS" w:hAnsi="Trebuchet MS"/>
        </w:rPr>
        <w:t xml:space="preserve"> depistat</w:t>
      </w:r>
      <w:r w:rsidR="00F82000">
        <w:rPr>
          <w:rFonts w:ascii="Trebuchet MS" w:hAnsi="Trebuchet MS"/>
        </w:rPr>
        <w:t>e</w:t>
      </w:r>
      <w:r w:rsidRPr="00800065">
        <w:rPr>
          <w:rFonts w:ascii="Trebuchet MS" w:hAnsi="Trebuchet MS"/>
        </w:rPr>
        <w:t xml:space="preserve"> la muncă în afara programului de lucru stabilit în cadrul contractului individual de muncă cu timp parțial.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</w:t>
      </w:r>
      <w:r w:rsidR="00CE7C12">
        <w:rPr>
          <w:rFonts w:ascii="Trebuchet MS" w:hAnsi="Trebuchet MS"/>
          <w:sz w:val="24"/>
          <w:szCs w:val="24"/>
        </w:rPr>
        <w:t xml:space="preserve">9 </w:t>
      </w:r>
      <w:r w:rsidRPr="00774F4E">
        <w:rPr>
          <w:rFonts w:ascii="Trebuchet MS" w:hAnsi="Trebuchet MS"/>
          <w:sz w:val="24"/>
          <w:szCs w:val="24"/>
        </w:rPr>
        <w:t>persoane depistate la muncă fără contracte individuale de muncă.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lastRenderedPageBreak/>
        <w:t>Pentru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muncă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nedeclarată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, au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fost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sancționați</w:t>
      </w:r>
      <w:proofErr w:type="spellEnd"/>
      <w:r w:rsidR="00906348">
        <w:rPr>
          <w:rFonts w:ascii="Trebuchet MS" w:hAnsi="Trebuchet MS"/>
          <w:sz w:val="24"/>
          <w:szCs w:val="24"/>
          <w:lang w:val="fr-FR"/>
        </w:rPr>
        <w:t xml:space="preserve"> </w:t>
      </w:r>
      <w:r w:rsidR="002303D2">
        <w:rPr>
          <w:rFonts w:ascii="Trebuchet MS" w:hAnsi="Trebuchet MS"/>
          <w:sz w:val="24"/>
          <w:szCs w:val="24"/>
          <w:lang w:val="fr-FR"/>
        </w:rPr>
        <w:t>5</w:t>
      </w:r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angajatori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valoarea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amenzilor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aplicate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774F4E">
        <w:rPr>
          <w:rFonts w:ascii="Trebuchet MS" w:hAnsi="Trebuchet MS"/>
          <w:sz w:val="24"/>
          <w:szCs w:val="24"/>
          <w:lang w:val="fr-FR"/>
        </w:rPr>
        <w:t>fiind</w:t>
      </w:r>
      <w:proofErr w:type="spellEnd"/>
      <w:r w:rsidRPr="00774F4E">
        <w:rPr>
          <w:rFonts w:ascii="Trebuchet MS" w:hAnsi="Trebuchet MS"/>
          <w:sz w:val="24"/>
          <w:szCs w:val="24"/>
          <w:lang w:val="fr-FR"/>
        </w:rPr>
        <w:t xml:space="preserve"> de</w:t>
      </w:r>
      <w:r w:rsidR="00B71423">
        <w:rPr>
          <w:rFonts w:ascii="Trebuchet MS" w:hAnsi="Trebuchet MS"/>
          <w:sz w:val="24"/>
          <w:szCs w:val="24"/>
          <w:lang w:val="fr-FR"/>
        </w:rPr>
        <w:t xml:space="preserve"> </w:t>
      </w:r>
      <w:r w:rsidR="00B64523">
        <w:rPr>
          <w:rFonts w:ascii="Trebuchet MS" w:hAnsi="Trebuchet MS"/>
          <w:sz w:val="24"/>
          <w:szCs w:val="24"/>
          <w:lang w:val="fr-FR"/>
        </w:rPr>
        <w:t>180</w:t>
      </w:r>
      <w:r w:rsidR="00987803">
        <w:rPr>
          <w:rFonts w:ascii="Trebuchet MS" w:hAnsi="Trebuchet MS"/>
          <w:sz w:val="24"/>
          <w:szCs w:val="24"/>
          <w:lang w:val="fr-FR"/>
        </w:rPr>
        <w:t>.000</w:t>
      </w:r>
      <w:r w:rsidRPr="00774F4E">
        <w:rPr>
          <w:rFonts w:ascii="Trebuchet MS" w:hAnsi="Trebuchet MS"/>
          <w:sz w:val="24"/>
          <w:szCs w:val="24"/>
          <w:lang w:val="fr-FR"/>
        </w:rPr>
        <w:t xml:space="preserve"> lei.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t>Deficienţe frecvent constatate în domeniul relaţiilor de muncă: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neîncheierea în formă scrisă a contractelor individuale de muncă, anterior începerii raporturilor de muncă;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netransmiterea, în termenul legal, a contractelor individuale de muncă în registrul general de evidenţă a salariaţilor;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*netransmiterea modificărilor intervenite în registrul general de evidenţă a salariaţilor;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munca suplimentară;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dispoziţiilor legale referitoare la obligaţia de a ţine evidenţa orelor prestate de fiecare salariat;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acordarea concediilor de odihnă;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nerespectarea prevederilor legale privind repausul săptămânal.</w:t>
      </w:r>
    </w:p>
    <w:p w:rsidR="002B11C2" w:rsidRPr="00774F4E" w:rsidRDefault="002B11C2" w:rsidP="002B11C2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774F4E">
        <w:rPr>
          <w:rFonts w:ascii="Trebuchet MS" w:hAnsi="Trebuchet MS"/>
          <w:b/>
          <w:sz w:val="24"/>
          <w:szCs w:val="24"/>
          <w:u w:val="single"/>
        </w:rPr>
        <w:t>2. Activitatea în domeniul securităţii şi sănătăţii în muncă: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* În urma celor</w:t>
      </w:r>
      <w:r>
        <w:rPr>
          <w:rFonts w:ascii="Trebuchet MS" w:hAnsi="Trebuchet MS"/>
          <w:sz w:val="24"/>
          <w:szCs w:val="24"/>
        </w:rPr>
        <w:t xml:space="preserve"> </w:t>
      </w:r>
      <w:r w:rsidR="0081033E">
        <w:rPr>
          <w:rFonts w:ascii="Trebuchet MS" w:hAnsi="Trebuchet MS"/>
          <w:sz w:val="24"/>
          <w:szCs w:val="24"/>
        </w:rPr>
        <w:t>50</w:t>
      </w:r>
      <w:r w:rsidR="00241B78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>de controale efectuate, s-au aplicat</w:t>
      </w:r>
      <w:r w:rsidR="00241B78">
        <w:rPr>
          <w:rFonts w:ascii="Trebuchet MS" w:hAnsi="Trebuchet MS"/>
          <w:sz w:val="24"/>
          <w:szCs w:val="24"/>
        </w:rPr>
        <w:t xml:space="preserve"> </w:t>
      </w:r>
      <w:r w:rsidR="0081033E">
        <w:rPr>
          <w:rFonts w:ascii="Trebuchet MS" w:hAnsi="Trebuchet MS"/>
          <w:sz w:val="24"/>
          <w:szCs w:val="24"/>
        </w:rPr>
        <w:t>23</w:t>
      </w:r>
      <w:r w:rsidRPr="00774F4E">
        <w:rPr>
          <w:rFonts w:ascii="Trebuchet MS" w:hAnsi="Trebuchet MS"/>
          <w:sz w:val="24"/>
          <w:szCs w:val="24"/>
        </w:rPr>
        <w:t xml:space="preserve"> sancţiuni contravenţionale valoarea amenzilor aplicate fiind de </w:t>
      </w:r>
      <w:r w:rsidR="0081033E">
        <w:rPr>
          <w:rFonts w:ascii="Trebuchet MS" w:hAnsi="Trebuchet MS"/>
          <w:sz w:val="24"/>
          <w:szCs w:val="24"/>
        </w:rPr>
        <w:t>8.500</w:t>
      </w:r>
      <w:r w:rsidRPr="00774F4E">
        <w:rPr>
          <w:rFonts w:ascii="Trebuchet MS" w:hAnsi="Trebuchet MS"/>
          <w:sz w:val="24"/>
          <w:szCs w:val="24"/>
        </w:rPr>
        <w:t xml:space="preserve"> lei.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9048F7">
        <w:rPr>
          <w:rFonts w:ascii="Trebuchet MS" w:hAnsi="Trebuchet MS"/>
          <w:sz w:val="24"/>
          <w:szCs w:val="24"/>
        </w:rPr>
        <w:t>Principalele deficienţe constatate au fost:</w:t>
      </w:r>
    </w:p>
    <w:p w:rsidR="00590851" w:rsidRPr="00590851" w:rsidRDefault="00590851" w:rsidP="0059085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590851">
        <w:rPr>
          <w:rFonts w:ascii="Trebuchet MS" w:hAnsi="Trebuchet MS"/>
          <w:sz w:val="24"/>
          <w:szCs w:val="24"/>
        </w:rPr>
        <w:t xml:space="preserve"> nu s-a comunicat producerea evenimentelor soldate cu accidentarea lucrătorilor;</w:t>
      </w:r>
    </w:p>
    <w:p w:rsidR="00590851" w:rsidRPr="00590851" w:rsidRDefault="00590851" w:rsidP="0059085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590851">
        <w:rPr>
          <w:rFonts w:ascii="Trebuchet MS" w:hAnsi="Trebuchet MS"/>
          <w:sz w:val="24"/>
          <w:szCs w:val="24"/>
        </w:rPr>
        <w:t xml:space="preserve"> nu s-a acordat echipament individual de protecție nou care să-l înlocuiască pe cel degradat sau pe cel a căror calități de protecție s-au pierdut;</w:t>
      </w:r>
    </w:p>
    <w:p w:rsidR="00590851" w:rsidRPr="00590851" w:rsidRDefault="00590851" w:rsidP="0059085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* </w:t>
      </w:r>
      <w:r w:rsidRPr="00590851">
        <w:rPr>
          <w:rFonts w:ascii="Trebuchet MS" w:hAnsi="Trebuchet MS"/>
          <w:sz w:val="24"/>
          <w:szCs w:val="24"/>
        </w:rPr>
        <w:t>nu s-a asigurat cunoașterea și aplicarea de către lucrători a prevederilor legale în domeniul securității și sănătății în muncă;</w:t>
      </w:r>
    </w:p>
    <w:p w:rsidR="00590851" w:rsidRPr="00590851" w:rsidRDefault="00590851" w:rsidP="0059085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590851">
        <w:rPr>
          <w:rFonts w:ascii="Trebuchet MS" w:hAnsi="Trebuchet MS"/>
          <w:sz w:val="24"/>
          <w:szCs w:val="24"/>
        </w:rPr>
        <w:t xml:space="preserve"> nu s-au afișat la intrarea în unitate reglementările cu privire la împiedicarea infectării cu SARS CoV2;</w:t>
      </w:r>
    </w:p>
    <w:p w:rsidR="00590851" w:rsidRPr="00590851" w:rsidRDefault="00590851" w:rsidP="0059085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*</w:t>
      </w:r>
      <w:r w:rsidRPr="00590851">
        <w:rPr>
          <w:rFonts w:ascii="Trebuchet MS" w:hAnsi="Trebuchet MS"/>
          <w:sz w:val="24"/>
          <w:szCs w:val="24"/>
        </w:rPr>
        <w:t xml:space="preserve"> nu s-a înlocuit semnalizarea de securitate degradată;</w:t>
      </w:r>
    </w:p>
    <w:p w:rsidR="00590851" w:rsidRPr="00590851" w:rsidRDefault="00590851" w:rsidP="0059085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590851">
        <w:rPr>
          <w:rFonts w:ascii="Trebuchet MS" w:hAnsi="Trebuchet MS"/>
          <w:sz w:val="24"/>
          <w:szCs w:val="24"/>
        </w:rPr>
        <w:t xml:space="preserve"> nu s-a urmărit folosirea mijloacelor individuale de protecție de către lucrători în locurile de muncă cu zgomot.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În luna </w:t>
      </w:r>
      <w:r w:rsidR="00150AE8">
        <w:rPr>
          <w:rFonts w:ascii="Trebuchet MS" w:hAnsi="Trebuchet MS"/>
          <w:sz w:val="24"/>
          <w:szCs w:val="24"/>
        </w:rPr>
        <w:t>decembrie</w:t>
      </w:r>
      <w:r w:rsidR="00542C56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 la Inspectoratul Teritorial de Muncă Suceava au fost comunicate</w:t>
      </w:r>
      <w:r w:rsidR="002E274E">
        <w:rPr>
          <w:rFonts w:ascii="Trebuchet MS" w:hAnsi="Trebuchet MS"/>
          <w:sz w:val="24"/>
          <w:szCs w:val="24"/>
        </w:rPr>
        <w:t xml:space="preserve"> </w:t>
      </w:r>
      <w:r w:rsidR="00CD7262">
        <w:rPr>
          <w:rFonts w:ascii="Trebuchet MS" w:hAnsi="Trebuchet MS"/>
          <w:sz w:val="24"/>
          <w:szCs w:val="24"/>
        </w:rPr>
        <w:t>26</w:t>
      </w:r>
      <w:r w:rsidR="002E274E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evenimente. 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>Ca urmare a interogării registrului general de evidenţă a salariaţilor, s-a constatat faptul că, la data de 01.</w:t>
      </w:r>
      <w:r w:rsidR="00150AE8">
        <w:rPr>
          <w:rFonts w:ascii="Trebuchet MS" w:hAnsi="Trebuchet MS"/>
          <w:sz w:val="24"/>
          <w:szCs w:val="24"/>
        </w:rPr>
        <w:t>01</w:t>
      </w:r>
      <w:r w:rsidRPr="00774F4E">
        <w:rPr>
          <w:rFonts w:ascii="Trebuchet MS" w:hAnsi="Trebuchet MS"/>
          <w:sz w:val="24"/>
          <w:szCs w:val="24"/>
        </w:rPr>
        <w:t>.202</w:t>
      </w:r>
      <w:r w:rsidR="00150AE8">
        <w:rPr>
          <w:rFonts w:ascii="Trebuchet MS" w:hAnsi="Trebuchet MS"/>
          <w:sz w:val="24"/>
          <w:szCs w:val="24"/>
        </w:rPr>
        <w:t>1</w:t>
      </w:r>
      <w:r w:rsidRPr="00774F4E">
        <w:rPr>
          <w:rFonts w:ascii="Trebuchet MS" w:hAnsi="Trebuchet MS"/>
          <w:sz w:val="24"/>
          <w:szCs w:val="24"/>
        </w:rPr>
        <w:t xml:space="preserve">, figurează ca fiind înregistrate </w:t>
      </w:r>
      <w:r w:rsidR="00150AE8">
        <w:rPr>
          <w:rFonts w:ascii="Trebuchet MS" w:hAnsi="Trebuchet MS"/>
          <w:sz w:val="24"/>
          <w:szCs w:val="24"/>
        </w:rPr>
        <w:t>131.626</w:t>
      </w:r>
      <w:r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de contracte individuale de muncă active din care: </w:t>
      </w:r>
    </w:p>
    <w:p w:rsidR="002B11C2" w:rsidRPr="00774F4E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 </w:t>
      </w:r>
      <w:r w:rsidR="00150AE8">
        <w:rPr>
          <w:rFonts w:ascii="Trebuchet MS" w:hAnsi="Trebuchet MS"/>
          <w:sz w:val="24"/>
          <w:szCs w:val="24"/>
        </w:rPr>
        <w:t>121.730</w:t>
      </w:r>
      <w:r w:rsidR="000A3336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>pe durată nedeterminată;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74F4E">
        <w:rPr>
          <w:rFonts w:ascii="Trebuchet MS" w:hAnsi="Trebuchet MS"/>
          <w:sz w:val="24"/>
          <w:szCs w:val="24"/>
        </w:rPr>
        <w:t xml:space="preserve">-    </w:t>
      </w:r>
      <w:r w:rsidR="00150AE8">
        <w:rPr>
          <w:rFonts w:ascii="Trebuchet MS" w:hAnsi="Trebuchet MS"/>
          <w:sz w:val="24"/>
          <w:szCs w:val="24"/>
        </w:rPr>
        <w:t>9.896</w:t>
      </w:r>
      <w:r w:rsidR="000A3336">
        <w:rPr>
          <w:rFonts w:ascii="Trebuchet MS" w:hAnsi="Trebuchet MS"/>
          <w:sz w:val="24"/>
          <w:szCs w:val="24"/>
        </w:rPr>
        <w:t xml:space="preserve"> </w:t>
      </w:r>
      <w:r w:rsidRPr="00774F4E">
        <w:rPr>
          <w:rFonts w:ascii="Trebuchet MS" w:hAnsi="Trebuchet MS"/>
          <w:sz w:val="24"/>
          <w:szCs w:val="24"/>
        </w:rPr>
        <w:t xml:space="preserve">pe durată determinată. </w:t>
      </w:r>
    </w:p>
    <w:p w:rsidR="00357E6F" w:rsidRPr="00774F4E" w:rsidRDefault="00357E6F" w:rsidP="002B11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>,</w:t>
      </w:r>
    </w:p>
    <w:p w:rsidR="00357E6F" w:rsidRPr="00DC1D4F" w:rsidRDefault="00357E6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Suceava 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>Narcisa CIOLTAN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>,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9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E1" w:rsidRDefault="00CC61E1" w:rsidP="00300128">
      <w:pPr>
        <w:spacing w:after="0" w:line="240" w:lineRule="auto"/>
      </w:pPr>
      <w:r>
        <w:separator/>
      </w:r>
    </w:p>
  </w:endnote>
  <w:endnote w:type="continuationSeparator" w:id="0">
    <w:p w:rsidR="00CC61E1" w:rsidRDefault="00CC61E1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CC61E1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E1" w:rsidRDefault="00CC61E1" w:rsidP="00300128">
      <w:pPr>
        <w:spacing w:after="0" w:line="240" w:lineRule="auto"/>
      </w:pPr>
      <w:r>
        <w:separator/>
      </w:r>
    </w:p>
  </w:footnote>
  <w:footnote w:type="continuationSeparator" w:id="0">
    <w:p w:rsidR="00CC61E1" w:rsidRDefault="00CC61E1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10845"/>
    <w:rsid w:val="00014987"/>
    <w:rsid w:val="00050A6B"/>
    <w:rsid w:val="0006334E"/>
    <w:rsid w:val="000705D1"/>
    <w:rsid w:val="00074E7D"/>
    <w:rsid w:val="000818A0"/>
    <w:rsid w:val="0009173C"/>
    <w:rsid w:val="000956F3"/>
    <w:rsid w:val="000961E6"/>
    <w:rsid w:val="000A3336"/>
    <w:rsid w:val="000A677C"/>
    <w:rsid w:val="000E25E3"/>
    <w:rsid w:val="000E6AE0"/>
    <w:rsid w:val="00107B31"/>
    <w:rsid w:val="00111414"/>
    <w:rsid w:val="0012638F"/>
    <w:rsid w:val="00134248"/>
    <w:rsid w:val="0014790C"/>
    <w:rsid w:val="00150AE8"/>
    <w:rsid w:val="001837FF"/>
    <w:rsid w:val="001871A9"/>
    <w:rsid w:val="001B6F48"/>
    <w:rsid w:val="001C239F"/>
    <w:rsid w:val="001E2D88"/>
    <w:rsid w:val="001E4E41"/>
    <w:rsid w:val="001F7200"/>
    <w:rsid w:val="00203190"/>
    <w:rsid w:val="00203905"/>
    <w:rsid w:val="00211C3A"/>
    <w:rsid w:val="002165B1"/>
    <w:rsid w:val="0022698D"/>
    <w:rsid w:val="002303D2"/>
    <w:rsid w:val="00234670"/>
    <w:rsid w:val="00241B78"/>
    <w:rsid w:val="002433A5"/>
    <w:rsid w:val="002435B1"/>
    <w:rsid w:val="0025192C"/>
    <w:rsid w:val="002542A1"/>
    <w:rsid w:val="00255373"/>
    <w:rsid w:val="002B11C2"/>
    <w:rsid w:val="002B1D29"/>
    <w:rsid w:val="002C368C"/>
    <w:rsid w:val="002D6BF3"/>
    <w:rsid w:val="002E274E"/>
    <w:rsid w:val="002E7318"/>
    <w:rsid w:val="002F62DA"/>
    <w:rsid w:val="00300128"/>
    <w:rsid w:val="003119C7"/>
    <w:rsid w:val="00335CE5"/>
    <w:rsid w:val="003372E1"/>
    <w:rsid w:val="00354CD4"/>
    <w:rsid w:val="00355226"/>
    <w:rsid w:val="00357CA0"/>
    <w:rsid w:val="00357E6F"/>
    <w:rsid w:val="00365AA7"/>
    <w:rsid w:val="003730C1"/>
    <w:rsid w:val="003866A7"/>
    <w:rsid w:val="003A08A4"/>
    <w:rsid w:val="003A547D"/>
    <w:rsid w:val="003B557F"/>
    <w:rsid w:val="003B6C82"/>
    <w:rsid w:val="003C1613"/>
    <w:rsid w:val="003D509F"/>
    <w:rsid w:val="003D6E61"/>
    <w:rsid w:val="003E08A9"/>
    <w:rsid w:val="003E2699"/>
    <w:rsid w:val="003F1915"/>
    <w:rsid w:val="003F54D1"/>
    <w:rsid w:val="004009F4"/>
    <w:rsid w:val="00407D6D"/>
    <w:rsid w:val="00413EB2"/>
    <w:rsid w:val="00413FD6"/>
    <w:rsid w:val="00421A1A"/>
    <w:rsid w:val="004404AA"/>
    <w:rsid w:val="00445A37"/>
    <w:rsid w:val="00446383"/>
    <w:rsid w:val="004509DC"/>
    <w:rsid w:val="004576C1"/>
    <w:rsid w:val="0047142B"/>
    <w:rsid w:val="0048553C"/>
    <w:rsid w:val="004872E4"/>
    <w:rsid w:val="00491DAF"/>
    <w:rsid w:val="0049389D"/>
    <w:rsid w:val="004A707B"/>
    <w:rsid w:val="004B6879"/>
    <w:rsid w:val="004B7ED0"/>
    <w:rsid w:val="004D246C"/>
    <w:rsid w:val="004D5668"/>
    <w:rsid w:val="004D5DA7"/>
    <w:rsid w:val="004E03EF"/>
    <w:rsid w:val="005027EF"/>
    <w:rsid w:val="00502ED7"/>
    <w:rsid w:val="00504AC7"/>
    <w:rsid w:val="00525919"/>
    <w:rsid w:val="00534F22"/>
    <w:rsid w:val="00542C56"/>
    <w:rsid w:val="00546A73"/>
    <w:rsid w:val="00556B66"/>
    <w:rsid w:val="00580624"/>
    <w:rsid w:val="00585744"/>
    <w:rsid w:val="0058584A"/>
    <w:rsid w:val="00590851"/>
    <w:rsid w:val="005916CA"/>
    <w:rsid w:val="005A0667"/>
    <w:rsid w:val="005A1E70"/>
    <w:rsid w:val="005B1A4B"/>
    <w:rsid w:val="005B506C"/>
    <w:rsid w:val="005C176C"/>
    <w:rsid w:val="005C38CC"/>
    <w:rsid w:val="005F2262"/>
    <w:rsid w:val="00631149"/>
    <w:rsid w:val="00650288"/>
    <w:rsid w:val="006705DE"/>
    <w:rsid w:val="0067629A"/>
    <w:rsid w:val="00677EA0"/>
    <w:rsid w:val="0068326D"/>
    <w:rsid w:val="00686099"/>
    <w:rsid w:val="00691084"/>
    <w:rsid w:val="006949B3"/>
    <w:rsid w:val="006A44A2"/>
    <w:rsid w:val="006B0D35"/>
    <w:rsid w:val="006C012D"/>
    <w:rsid w:val="006F45B0"/>
    <w:rsid w:val="00701F4B"/>
    <w:rsid w:val="00702D8C"/>
    <w:rsid w:val="0070617F"/>
    <w:rsid w:val="0070642C"/>
    <w:rsid w:val="00710615"/>
    <w:rsid w:val="00721FA3"/>
    <w:rsid w:val="00727806"/>
    <w:rsid w:val="00735F29"/>
    <w:rsid w:val="0075521C"/>
    <w:rsid w:val="00767A2E"/>
    <w:rsid w:val="00774D0E"/>
    <w:rsid w:val="00774F4E"/>
    <w:rsid w:val="00787FA9"/>
    <w:rsid w:val="007B642E"/>
    <w:rsid w:val="007C4240"/>
    <w:rsid w:val="007D019B"/>
    <w:rsid w:val="007E45F9"/>
    <w:rsid w:val="007E7650"/>
    <w:rsid w:val="00800065"/>
    <w:rsid w:val="00800FF1"/>
    <w:rsid w:val="00801D0B"/>
    <w:rsid w:val="008043F1"/>
    <w:rsid w:val="0081033E"/>
    <w:rsid w:val="0081729A"/>
    <w:rsid w:val="00817A24"/>
    <w:rsid w:val="00825488"/>
    <w:rsid w:val="00827E0D"/>
    <w:rsid w:val="00830DCE"/>
    <w:rsid w:val="008321D9"/>
    <w:rsid w:val="00835785"/>
    <w:rsid w:val="008468D1"/>
    <w:rsid w:val="00854F3E"/>
    <w:rsid w:val="00867756"/>
    <w:rsid w:val="00873F1D"/>
    <w:rsid w:val="00887E8B"/>
    <w:rsid w:val="00894FD4"/>
    <w:rsid w:val="008A1C7F"/>
    <w:rsid w:val="008A33F4"/>
    <w:rsid w:val="008A38E2"/>
    <w:rsid w:val="008B3B21"/>
    <w:rsid w:val="008B4302"/>
    <w:rsid w:val="008D3E79"/>
    <w:rsid w:val="008F2DBC"/>
    <w:rsid w:val="00900AAD"/>
    <w:rsid w:val="00906348"/>
    <w:rsid w:val="00906897"/>
    <w:rsid w:val="00910A13"/>
    <w:rsid w:val="009215AB"/>
    <w:rsid w:val="00952C50"/>
    <w:rsid w:val="00980D68"/>
    <w:rsid w:val="009853AE"/>
    <w:rsid w:val="00987803"/>
    <w:rsid w:val="00992C34"/>
    <w:rsid w:val="00997AB3"/>
    <w:rsid w:val="009A5E76"/>
    <w:rsid w:val="009B6626"/>
    <w:rsid w:val="009B74B4"/>
    <w:rsid w:val="009C2F33"/>
    <w:rsid w:val="009D2671"/>
    <w:rsid w:val="009D3246"/>
    <w:rsid w:val="009D3BF3"/>
    <w:rsid w:val="009E4069"/>
    <w:rsid w:val="009F0D2D"/>
    <w:rsid w:val="00A01D1F"/>
    <w:rsid w:val="00A16754"/>
    <w:rsid w:val="00A224CC"/>
    <w:rsid w:val="00A666B8"/>
    <w:rsid w:val="00A671D3"/>
    <w:rsid w:val="00A7407C"/>
    <w:rsid w:val="00AB18AF"/>
    <w:rsid w:val="00AB63E9"/>
    <w:rsid w:val="00AC101D"/>
    <w:rsid w:val="00AF101F"/>
    <w:rsid w:val="00B01F29"/>
    <w:rsid w:val="00B0667B"/>
    <w:rsid w:val="00B14A99"/>
    <w:rsid w:val="00B2169F"/>
    <w:rsid w:val="00B21912"/>
    <w:rsid w:val="00B24B5C"/>
    <w:rsid w:val="00B40E72"/>
    <w:rsid w:val="00B45EB7"/>
    <w:rsid w:val="00B51296"/>
    <w:rsid w:val="00B51DFA"/>
    <w:rsid w:val="00B617DF"/>
    <w:rsid w:val="00B64523"/>
    <w:rsid w:val="00B71423"/>
    <w:rsid w:val="00B83890"/>
    <w:rsid w:val="00B8682C"/>
    <w:rsid w:val="00B956F8"/>
    <w:rsid w:val="00BA1192"/>
    <w:rsid w:val="00BD36FA"/>
    <w:rsid w:val="00BF157A"/>
    <w:rsid w:val="00BF1A9F"/>
    <w:rsid w:val="00C04330"/>
    <w:rsid w:val="00C05BCE"/>
    <w:rsid w:val="00C4580E"/>
    <w:rsid w:val="00C46C4F"/>
    <w:rsid w:val="00C5182D"/>
    <w:rsid w:val="00C53874"/>
    <w:rsid w:val="00C71228"/>
    <w:rsid w:val="00C8555D"/>
    <w:rsid w:val="00C97BB1"/>
    <w:rsid w:val="00CA74CA"/>
    <w:rsid w:val="00CB49A0"/>
    <w:rsid w:val="00CC574D"/>
    <w:rsid w:val="00CC61E1"/>
    <w:rsid w:val="00CD7262"/>
    <w:rsid w:val="00CE7C12"/>
    <w:rsid w:val="00D142CD"/>
    <w:rsid w:val="00D23087"/>
    <w:rsid w:val="00D30FA4"/>
    <w:rsid w:val="00D331F9"/>
    <w:rsid w:val="00D34888"/>
    <w:rsid w:val="00D4074D"/>
    <w:rsid w:val="00D57811"/>
    <w:rsid w:val="00D57D2F"/>
    <w:rsid w:val="00DC1D4F"/>
    <w:rsid w:val="00DC749C"/>
    <w:rsid w:val="00DD012E"/>
    <w:rsid w:val="00DD3338"/>
    <w:rsid w:val="00DE2751"/>
    <w:rsid w:val="00DF333B"/>
    <w:rsid w:val="00DF52F2"/>
    <w:rsid w:val="00E031C3"/>
    <w:rsid w:val="00E115F2"/>
    <w:rsid w:val="00E22521"/>
    <w:rsid w:val="00E353B6"/>
    <w:rsid w:val="00E358B9"/>
    <w:rsid w:val="00E6697F"/>
    <w:rsid w:val="00E741BC"/>
    <w:rsid w:val="00E7642F"/>
    <w:rsid w:val="00EA2050"/>
    <w:rsid w:val="00EA5620"/>
    <w:rsid w:val="00EB5AAD"/>
    <w:rsid w:val="00EC021D"/>
    <w:rsid w:val="00EC25BE"/>
    <w:rsid w:val="00EC764D"/>
    <w:rsid w:val="00EE0867"/>
    <w:rsid w:val="00EF0B57"/>
    <w:rsid w:val="00F00AE5"/>
    <w:rsid w:val="00F25E0B"/>
    <w:rsid w:val="00F456DD"/>
    <w:rsid w:val="00F66DA9"/>
    <w:rsid w:val="00F720E8"/>
    <w:rsid w:val="00F73856"/>
    <w:rsid w:val="00F8094A"/>
    <w:rsid w:val="00F82000"/>
    <w:rsid w:val="00F8407D"/>
    <w:rsid w:val="00F946C2"/>
    <w:rsid w:val="00FA09E1"/>
    <w:rsid w:val="00FA274D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22</cp:revision>
  <cp:lastPrinted>2021-01-19T09:28:00Z</cp:lastPrinted>
  <dcterms:created xsi:type="dcterms:W3CDTF">2021-01-19T07:34:00Z</dcterms:created>
  <dcterms:modified xsi:type="dcterms:W3CDTF">2021-01-19T09:32:00Z</dcterms:modified>
</cp:coreProperties>
</file>